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left"/>
      </w:pPr>
      <w:r>
        <w:rPr>
          <w:rFonts w:ascii="Arial" w:cs="Arial" w:eastAsia="Arial" w:hAnsi="Arial"/>
          <w:sz w:val="22"/>
          <w:szCs w:val="22"/>
        </w:rPr>
        <w:t xml:space="preserve">Robert Frobeen</w:t>
      </w:r>
    </w:p>
    <w:p>
      <w:pPr>
        <w:spacing w:after="120"/>
        <w:jc w:val="left"/>
      </w:pPr>
      <w:r>
        <w:rPr>
          <w:rFonts w:ascii="Arial" w:cs="Arial" w:eastAsia="Arial" w:hAnsi="Arial"/>
          <w:sz w:val="22"/>
          <w:szCs w:val="22"/>
        </w:rPr>
        <w:t xml:space="preserve">Holzstr. 10</w:t>
      </w:r>
    </w:p>
    <w:p>
      <w:pPr>
        <w:spacing w:after="200"/>
        <w:jc w:val="left"/>
      </w:pPr>
      <w:r>
        <w:rPr>
          <w:rFonts w:ascii="Arial" w:cs="Arial" w:eastAsia="Arial" w:hAnsi="Arial"/>
          <w:sz w:val="22"/>
          <w:szCs w:val="22"/>
        </w:rPr>
        <w:t xml:space="preserve">29584 Himbergen</w:t>
      </w:r>
    </w:p>
    <w:p>
      <w:pPr>
        <w:spacing w:after="120"/>
        <w:jc w:val="left"/>
      </w:pPr>
      <w:r>
        <w:rPr>
          <w:rFonts w:ascii="Arial" w:cs="Arial" w:eastAsia="Arial" w:hAnsi="Arial"/>
          <w:sz w:val="22"/>
          <w:szCs w:val="22"/>
        </w:rPr>
        <w:t xml:space="preserve">DBV Deutsche Beamtenversicherung</w:t>
      </w:r>
    </w:p>
    <w:p>
      <w:pPr>
        <w:spacing w:after="120"/>
        <w:jc w:val="left"/>
      </w:pPr>
      <w:r>
        <w:rPr>
          <w:rFonts w:ascii="Arial" w:cs="Arial" w:eastAsia="Arial" w:hAnsi="Arial"/>
          <w:sz w:val="22"/>
          <w:szCs w:val="22"/>
        </w:rPr>
        <w:t xml:space="preserve">Zweigniederlassung der AXA Versicherung AG</w:t>
      </w:r>
    </w:p>
    <w:p>
      <w:pPr>
        <w:spacing w:after="200"/>
        <w:jc w:val="left"/>
      </w:pPr>
      <w:r>
        <w:rPr>
          <w:rFonts w:ascii="Arial" w:cs="Arial" w:eastAsia="Arial" w:hAnsi="Arial"/>
          <w:sz w:val="22"/>
          <w:szCs w:val="22"/>
        </w:rPr>
        <w:t xml:space="preserve">Schadenbearbeitung Wohngebäude</w:t>
      </w:r>
    </w:p>
    <w:p>
      <w:pPr>
        <w:spacing w:after="60"/>
        <w:jc w:val="right"/>
      </w:pPr>
      <w:r>
        <w:rPr>
          <w:rFonts w:ascii="Arial" w:cs="Arial" w:eastAsia="Arial" w:hAnsi="Arial"/>
          <w:sz w:val="22"/>
          <w:szCs w:val="22"/>
        </w:rPr>
        <w:t xml:space="preserve">Himbergen, den 30. April 2026</w:t>
      </w:r>
    </w:p>
    <w:p>
      <w:pPr>
        <w:spacing w:after="40"/>
        <w:jc w:val="left"/>
      </w:pPr>
      <w:r>
        <w:rPr>
          <w:rFonts w:ascii="Arial" w:cs="Arial" w:eastAsia="Arial" w:hAnsi="Arial"/>
          <w:b/>
          <w:bCs/>
          <w:sz w:val="22"/>
          <w:szCs w:val="22"/>
        </w:rPr>
        <w:t xml:space="preserve">Schaden-Nr.: 90000722787</w:t>
      </w:r>
    </w:p>
    <w:p>
      <w:pPr>
        <w:spacing w:after="200"/>
        <w:jc w:val="left"/>
      </w:pPr>
      <w:r>
        <w:rPr>
          <w:rFonts w:ascii="Arial" w:cs="Arial" w:eastAsia="Arial" w:hAnsi="Arial"/>
          <w:b/>
          <w:bCs/>
          <w:sz w:val="22"/>
          <w:szCs w:val="22"/>
        </w:rPr>
        <w:t xml:space="preserve">Versicherungsschein-Nr.: 56003205687</w:t>
      </w:r>
    </w:p>
    <w:p>
      <w:pPr>
        <w:spacing w:after="60"/>
        <w:jc w:val="left"/>
      </w:pPr>
      <w:r>
        <w:rPr>
          <w:rFonts w:ascii="Arial" w:cs="Arial" w:eastAsia="Arial" w:hAnsi="Arial"/>
          <w:b/>
          <w:bCs/>
          <w:sz w:val="22"/>
          <w:szCs w:val="22"/>
        </w:rPr>
        <w:t xml:space="preserve">Erwiderung zur Gutachterlichen Stellungnahme Dipl.-Ing. Schuchardt vom 29.04.2026</w:t>
      </w:r>
    </w:p>
    <w:p>
      <w:pPr>
        <w:spacing w:after="280"/>
        <w:jc w:val="left"/>
      </w:pPr>
      <w:r>
        <w:rPr>
          <w:rFonts w:ascii="Arial" w:cs="Arial" w:eastAsia="Arial" w:hAnsi="Arial"/>
          <w:b/>
          <w:bCs/>
          <w:sz w:val="22"/>
          <w:szCs w:val="22"/>
        </w:rPr>
        <w:t xml:space="preserve">Normgerechtes Vorgehen nach DIN 68800-4:2020-12 und UBA-Schimmelleitfaden 2017</w:t>
      </w:r>
    </w:p>
    <w:p>
      <w:pPr>
        <w:spacing w:after="200"/>
        <w:jc w:val="both"/>
      </w:pPr>
      <w:r>
        <w:rPr>
          <w:rFonts w:ascii="Arial" w:cs="Arial" w:eastAsia="Arial" w:hAnsi="Arial"/>
          <w:sz w:val="22"/>
          <w:szCs w:val="22"/>
        </w:rPr>
        <w:t xml:space="preserve">Sehr geehrte Damen und Herren,</w:t>
      </w:r>
    </w:p>
    <w:p>
      <w:pPr>
        <w:spacing w:after="120"/>
        <w:jc w:val="both"/>
      </w:pPr>
      <w:r>
        <w:rPr>
          <w:rFonts w:ascii="Arial" w:cs="Arial" w:eastAsia="Arial" w:hAnsi="Arial"/>
          <w:sz w:val="22"/>
          <w:szCs w:val="22"/>
        </w:rPr>
        <w:t xml:space="preserve">ich nehme Bezug auf die mir vorliegende Gutachterliche Stellungnahme zum Schadenumfang von Dipl.-Ing. Schuchardt vom 29.04.2026. Nach eingehender Prüfung stelle ich fest, dass die Stellungnahme wesentliche Schadensbefunde, normative Vorgaben und physikalische Zusammenhänge unberücksichtigt lässt. Die nachfolgende Erwiderung legt dar, warum das vorgeschlagene Vorgehen den allgemein anerkannten Regeln der Technik (a.a.R.d.T.) widerspricht und eine normgerechte Schadensbewertung zwingend erforderlich ist. Von einem </w:t>
      </w:r>
      <w:r>
        <w:rPr>
          <w:rFonts w:ascii="Arial" w:cs="Arial" w:eastAsia="Arial" w:hAnsi="Arial"/>
          <w:b/>
          <w:bCs/>
          <w:sz w:val="22"/>
          <w:szCs w:val="22"/>
        </w:rPr>
        <w:t xml:space="preserve">öffentlich bestellten und vereidigten Sachverständigen</w:t>
      </w:r>
      <w:r>
        <w:rPr>
          <w:rFonts w:ascii="Arial" w:cs="Arial" w:eastAsia="Arial" w:hAnsi="Arial"/>
          <w:sz w:val="22"/>
          <w:szCs w:val="22"/>
        </w:rPr>
        <w:t xml:space="preserve"> ist zu erwarten, dass er die Einhaltung der DIN 68800-4 als Kernbestandteil der unparteiischen Schadensermittlung betrachtet und nicht zugunsten einer wirtschaftlich optimierten Sanierungsempfehlung für den Auftraggeber davon abweicht.</w:t>
      </w:r>
    </w:p>
    <w:p>
      <w:pPr>
        <w:pStyle w:val="Heading1"/>
        <w:spacing w:after="120" w:before="280"/>
      </w:pPr>
      <w:r>
        <w:rPr>
          <w:rFonts w:ascii="Arial" w:cs="Arial" w:eastAsia="Arial" w:hAnsi="Arial"/>
          <w:b/>
          <w:bCs/>
          <w:color w:val="1a1a1a"/>
          <w:sz w:val="26"/>
          <w:szCs w:val="26"/>
        </w:rPr>
        <w:t xml:space="preserve">Vorbemerkung: Klarstellung zum Vorwurf der „Totalsanierung“</w:t>
      </w:r>
    </w:p>
    <w:p>
      <w:pPr>
        <w:spacing w:after="120"/>
        <w:jc w:val="both"/>
      </w:pPr>
      <w:r>
        <w:rPr>
          <w:rFonts w:ascii="Arial" w:cs="Arial" w:eastAsia="Arial" w:hAnsi="Arial"/>
          <w:sz w:val="22"/>
          <w:szCs w:val="22"/>
        </w:rPr>
        <w:t xml:space="preserve">Herr Schuchardt stellt in seiner Stellungnahme meine Schadensberichte als Forderung nach einer „Totalsanierung“ dar und setzt diese mit „nicht ersatzpflichtiger Instandhaltung“ gleich. </w:t>
      </w:r>
      <w:r>
        <w:rPr>
          <w:rFonts w:ascii="Arial" w:cs="Arial" w:eastAsia="Arial" w:hAnsi="Arial"/>
          <w:b/>
          <w:bCs/>
          <w:sz w:val="22"/>
          <w:szCs w:val="22"/>
        </w:rPr>
        <w:t xml:space="preserve">Ich weise diesen Vorwurf ausdrücklich und entschieden zurück.</w:t>
      </w:r>
    </w:p>
    <w:p>
      <w:pPr>
        <w:spacing w:after="120"/>
        <w:jc w:val="both"/>
      </w:pPr>
      <w:r>
        <w:rPr>
          <w:rFonts w:ascii="Arial" w:cs="Arial" w:eastAsia="Arial" w:hAnsi="Arial"/>
          <w:sz w:val="22"/>
          <w:szCs w:val="22"/>
        </w:rPr>
        <w:t xml:space="preserve">Ich fordere keine Totalsanierung. Ich fordere das, was DIN 68800-4 und der UBA-Schimmelleitfaden zwingend vorschreiben: eine </w:t>
      </w:r>
      <w:r>
        <w:rPr>
          <w:rFonts w:ascii="Arial" w:cs="Arial" w:eastAsia="Arial" w:hAnsi="Arial"/>
          <w:b/>
          <w:bCs/>
          <w:sz w:val="22"/>
          <w:szCs w:val="22"/>
        </w:rPr>
        <w:t xml:space="preserve">vollständige Ermittlung der Schadensausdehnung</w:t>
      </w:r>
      <w:r>
        <w:rPr>
          <w:rFonts w:ascii="Arial" w:cs="Arial" w:eastAsia="Arial" w:hAnsi="Arial"/>
          <w:sz w:val="22"/>
          <w:szCs w:val="22"/>
        </w:rPr>
        <w:t xml:space="preserve">, bevor über den Sanierungsumfang entschieden wird. Das ist keine Maximierungsstrategie, sondern das normativ vorgeschriebene Mindestprogramm. Erst wenn feststeht, wie weit sich die Feuchtigkeit und ein möglicher Befall tatsächlich ausgebreitet haben, kann seriös beurteilt werden, welche Maßnahmen erforderlich sind – und welche nicht.</w:t>
      </w:r>
    </w:p>
    <w:p>
      <w:pPr>
        <w:spacing w:after="120"/>
        <w:jc w:val="both"/>
      </w:pPr>
      <w:r>
        <w:rPr>
          <w:rFonts w:ascii="Arial" w:cs="Arial" w:eastAsia="Arial" w:hAnsi="Arial"/>
          <w:sz w:val="22"/>
          <w:szCs w:val="22"/>
        </w:rPr>
        <w:t xml:space="preserve">Der Vorwurf, auf eine Totalsanierung hinzuarbeiten, ist auch sachlich unbegründet: Meine Schadensberichte dokumentieren </w:t>
      </w:r>
      <w:r>
        <w:rPr>
          <w:rFonts w:ascii="Arial" w:cs="Arial" w:eastAsia="Arial" w:hAnsi="Arial"/>
          <w:b/>
          <w:bCs/>
          <w:sz w:val="22"/>
          <w:szCs w:val="22"/>
        </w:rPr>
        <w:t xml:space="preserve">Befunde</w:t>
      </w:r>
      <w:r>
        <w:rPr>
          <w:rFonts w:ascii="Arial" w:cs="Arial" w:eastAsia="Arial" w:hAnsi="Arial"/>
          <w:sz w:val="22"/>
          <w:szCs w:val="22"/>
        </w:rPr>
        <w:t xml:space="preserve"> – kollabierte Bauplatten, Sandauswaschung, Fliesenverschiebung, Bodenabsenkung, Pilzbefall – und benennen normative Untersuchungspflichten. Daraus eine Sanierungsforderung abzuleiten, die über das fachlich Gebotene hinausgeht, ist eine Unterstellung, die in meinen Berichten keine Grundlage findet.</w:t>
      </w:r>
    </w:p>
    <w:p>
      <w:pPr>
        <w:spacing w:after="120"/>
        <w:jc w:val="both"/>
      </w:pPr>
      <w:r>
        <w:rPr>
          <w:rFonts w:ascii="Arial" w:cs="Arial" w:eastAsia="Arial" w:hAnsi="Arial"/>
          <w:sz w:val="22"/>
          <w:szCs w:val="22"/>
        </w:rPr>
        <w:t xml:space="preserve">Herr Schuchardt qualifiziert meine faktenbasierte Schadensdokumentation darüber hinaus pauschal als „unprofessionell“ (Stellungnahme S. 3). Diese Bewertung ist </w:t>
      </w:r>
      <w:r>
        <w:rPr>
          <w:rFonts w:ascii="Arial" w:cs="Arial" w:eastAsia="Arial" w:hAnsi="Arial"/>
          <w:b/>
          <w:bCs/>
          <w:sz w:val="22"/>
          <w:szCs w:val="22"/>
        </w:rPr>
        <w:t xml:space="preserve">tendenziös</w:t>
      </w:r>
      <w:r>
        <w:rPr>
          <w:rFonts w:ascii="Arial" w:cs="Arial" w:eastAsia="Arial" w:hAnsi="Arial"/>
          <w:sz w:val="22"/>
          <w:szCs w:val="22"/>
        </w:rPr>
        <w:t xml:space="preserve"> und stellt einen pauschalen Versuch dar, die in meinen Berichten konkret angeführten Schadenspunkte und normativen Anmerkungen zu entwerten, ohne sich inhaltlich mit ihnen auseinandersetzen zu müssen. Nicht ein einziger der von mir dokumentierten Befunde wird fachlich widerlegt – stattdessen wird die gesamte Dokumentation mit einem Pauschalurteil abgetan. Ich weise diese Qualifizierung als sachlich unbegründet und fachlich unangemessen zurück.</w:t>
      </w:r>
    </w:p>
    <w:p>
      <w:pPr>
        <w:pStyle w:val="Heading1"/>
        <w:spacing w:after="120" w:before="280"/>
      </w:pPr>
      <w:r>
        <w:rPr>
          <w:rFonts w:ascii="Arial" w:cs="Arial" w:eastAsia="Arial" w:hAnsi="Arial"/>
          <w:b/>
          <w:bCs/>
          <w:color w:val="1a1a1a"/>
          <w:sz w:val="26"/>
          <w:szCs w:val="26"/>
        </w:rPr>
        <w:t xml:space="preserve">1. Zwingende Vorgaben der DIN 68800-4:2020-12</w:t>
      </w:r>
    </w:p>
    <w:p>
      <w:pPr>
        <w:spacing w:after="120"/>
        <w:jc w:val="both"/>
      </w:pPr>
      <w:r>
        <w:rPr>
          <w:rFonts w:ascii="Arial" w:cs="Arial" w:eastAsia="Arial" w:hAnsi="Arial"/>
          <w:sz w:val="22"/>
          <w:szCs w:val="22"/>
        </w:rPr>
        <w:t xml:space="preserve">Die DIN 68800-4 </w:t>
      </w:r>
      <w:r>
        <w:rPr>
          <w:rFonts w:ascii="Arial" w:cs="Arial" w:eastAsia="Arial" w:hAnsi="Arial"/>
          <w:i/>
          <w:iCs/>
          <w:sz w:val="22"/>
          <w:szCs w:val="22"/>
        </w:rPr>
        <w:t xml:space="preserve">(Holzschutz – Bekämpfungs- und Sanierungsmaßnahmen gegen holzzerstörende Pilze und Insekten)</w:t>
      </w:r>
      <w:r>
        <w:rPr>
          <w:rFonts w:ascii="Arial" w:cs="Arial" w:eastAsia="Arial" w:hAnsi="Arial"/>
          <w:sz w:val="22"/>
          <w:szCs w:val="22"/>
        </w:rPr>
        <w:t xml:space="preserve"> ist die maßgebliche Norm für die Bewertung und Sanierung von Holzkonstruktionen bei Verdacht auf Befall durch holzzerstörende Pilze. Sie ist Teil der a.a.R.d.T. und damit versicherungsvertraglich verbindlich.</w:t>
      </w:r>
    </w:p>
    <w:p>
      <w:pPr>
        <w:pStyle w:val="Heading2"/>
        <w:spacing w:after="100" w:before="200"/>
      </w:pPr>
      <w:r>
        <w:rPr>
          <w:rFonts w:ascii="Arial" w:cs="Arial" w:eastAsia="Arial" w:hAnsi="Arial"/>
          <w:b/>
          <w:bCs/>
          <w:color w:val="1a1a1a"/>
          <w:sz w:val="24"/>
          <w:szCs w:val="24"/>
        </w:rPr>
        <w:t xml:space="preserve">1.1 Pflicht zur Artbestimmung durch Laboranalyse</w:t>
      </w:r>
    </w:p>
    <w:p>
      <w:pPr>
        <w:spacing w:after="120"/>
        <w:jc w:val="both"/>
      </w:pPr>
      <w:r>
        <w:rPr>
          <w:rFonts w:ascii="Arial" w:cs="Arial" w:eastAsia="Arial" w:hAnsi="Arial"/>
          <w:sz w:val="22"/>
          <w:szCs w:val="22"/>
        </w:rPr>
        <w:t xml:space="preserve">DIN 68800-4, Abschnitt 6, schreibt vor, dass bei Verdacht auf Befall durch holzzerstörende Pilze eine </w:t>
      </w:r>
      <w:r>
        <w:rPr>
          <w:rFonts w:ascii="Arial" w:cs="Arial" w:eastAsia="Arial" w:hAnsi="Arial"/>
          <w:b/>
          <w:bCs/>
          <w:sz w:val="22"/>
          <w:szCs w:val="22"/>
        </w:rPr>
        <w:t xml:space="preserve">Artbestimmung durch sachkundige Laboranalyse</w:t>
      </w:r>
      <w:r>
        <w:rPr>
          <w:rFonts w:ascii="Arial" w:cs="Arial" w:eastAsia="Arial" w:hAnsi="Arial"/>
          <w:sz w:val="22"/>
          <w:szCs w:val="22"/>
        </w:rPr>
        <w:t xml:space="preserve"> zu erfolgen hat, </w:t>
      </w:r>
      <w:r>
        <w:rPr>
          <w:rFonts w:ascii="Arial" w:cs="Arial" w:eastAsia="Arial" w:hAnsi="Arial"/>
          <w:b/>
          <w:bCs/>
          <w:sz w:val="22"/>
          <w:szCs w:val="22"/>
        </w:rPr>
        <w:t xml:space="preserve">bevor</w:t>
      </w:r>
      <w:r>
        <w:rPr>
          <w:rFonts w:ascii="Arial" w:cs="Arial" w:eastAsia="Arial" w:hAnsi="Arial"/>
          <w:sz w:val="22"/>
          <w:szCs w:val="22"/>
        </w:rPr>
        <w:t xml:space="preserve"> über Art und Umfang der Sanierungsmaßnahmen entschieden werden kann.</w:t>
      </w:r>
    </w:p>
    <w:p>
      <w:pPr>
        <w:spacing w:after="120"/>
        <w:jc w:val="both"/>
      </w:pPr>
      <w:r>
        <w:rPr>
          <w:rFonts w:ascii="Arial" w:cs="Arial" w:eastAsia="Arial" w:hAnsi="Arial"/>
          <w:sz w:val="22"/>
          <w:szCs w:val="22"/>
        </w:rPr>
        <w:t xml:space="preserve">Herr Schuchardt beschreibt den sichtbaren weißen Befall am Balken des Heizungsraumes lediglich als „kleinflächigen Pilzbefall“ und empfiehlt eine Oberflächenbehandlung. Eine Laboranalyse wurde weder durchgeführt noch empfohlen. Ohne Artbestimmung kann nicht beurteilt werden, ob es sich um einen oberflächlichen Schimmelpilz oder einen </w:t>
      </w:r>
      <w:r>
        <w:rPr>
          <w:rFonts w:ascii="Arial" w:cs="Arial" w:eastAsia="Arial" w:hAnsi="Arial"/>
          <w:b/>
          <w:bCs/>
          <w:sz w:val="22"/>
          <w:szCs w:val="22"/>
        </w:rPr>
        <w:t xml:space="preserve">holzzerstörenden Pilz</w:t>
      </w:r>
      <w:r>
        <w:rPr>
          <w:rFonts w:ascii="Arial" w:cs="Arial" w:eastAsia="Arial" w:hAnsi="Arial"/>
          <w:sz w:val="22"/>
          <w:szCs w:val="22"/>
        </w:rPr>
        <w:t xml:space="preserve"> (z. B. Weißer Porenschwamm – </w:t>
      </w:r>
      <w:r>
        <w:rPr>
          <w:rFonts w:ascii="Arial" w:cs="Arial" w:eastAsia="Arial" w:hAnsi="Arial"/>
          <w:i/>
          <w:iCs/>
          <w:sz w:val="22"/>
          <w:szCs w:val="22"/>
        </w:rPr>
        <w:t xml:space="preserve">Antrodia vaillantii</w:t>
      </w:r>
      <w:r>
        <w:rPr>
          <w:rFonts w:ascii="Arial" w:cs="Arial" w:eastAsia="Arial" w:hAnsi="Arial"/>
          <w:sz w:val="22"/>
          <w:szCs w:val="22"/>
        </w:rPr>
        <w:t xml:space="preserve">, oder Echter Hausschwamm – </w:t>
      </w:r>
      <w:r>
        <w:rPr>
          <w:rFonts w:ascii="Arial" w:cs="Arial" w:eastAsia="Arial" w:hAnsi="Arial"/>
          <w:i/>
          <w:iCs/>
          <w:sz w:val="22"/>
          <w:szCs w:val="22"/>
        </w:rPr>
        <w:t xml:space="preserve">Serpula lacrymans</w:t>
      </w:r>
      <w:r>
        <w:rPr>
          <w:rFonts w:ascii="Arial" w:cs="Arial" w:eastAsia="Arial" w:hAnsi="Arial"/>
          <w:sz w:val="22"/>
          <w:szCs w:val="22"/>
        </w:rPr>
        <w:t xml:space="preserve">) handelt.</w:t>
      </w:r>
    </w:p>
    <w:p>
      <w:pPr>
        <w:spacing w:after="120"/>
        <w:jc w:val="both"/>
      </w:pPr>
      <w:r>
        <w:rPr>
          <w:rFonts w:ascii="Arial" w:cs="Arial" w:eastAsia="Arial" w:hAnsi="Arial"/>
          <w:sz w:val="22"/>
          <w:szCs w:val="22"/>
        </w:rPr>
        <w:t xml:space="preserve">Sollte die Laboranalyse einen holzzerstörenden Pilz ergeben – insbesondere den Echten Hausschwamm –, schreibt DIN 68800-4 drastische Sanierungsmaßnahmen vor, darunter den </w:t>
      </w:r>
      <w:r>
        <w:rPr>
          <w:rFonts w:ascii="Arial" w:cs="Arial" w:eastAsia="Arial" w:hAnsi="Arial"/>
          <w:b/>
          <w:bCs/>
          <w:sz w:val="22"/>
          <w:szCs w:val="22"/>
        </w:rPr>
        <w:t xml:space="preserve">Rückschnitt tragender Bauteile bis mindestens 1,0–1,5 m über den sichtbaren Befall hinaus</w:t>
      </w:r>
      <w:r>
        <w:rPr>
          <w:rFonts w:ascii="Arial" w:cs="Arial" w:eastAsia="Arial" w:hAnsi="Arial"/>
          <w:sz w:val="22"/>
          <w:szCs w:val="22"/>
        </w:rPr>
        <w:t xml:space="preserve"> und die Behandlung angrenzender Mauerwerks- und Betonflächen. Ohne Artbestimmung bei sichtbarem Mycel eine bloße Oberflächenbehandlung zu empfehlen, ist </w:t>
      </w:r>
      <w:r>
        <w:rPr>
          <w:rFonts w:ascii="Arial" w:cs="Arial" w:eastAsia="Arial" w:hAnsi="Arial"/>
          <w:b/>
          <w:bCs/>
          <w:sz w:val="22"/>
          <w:szCs w:val="22"/>
        </w:rPr>
        <w:t xml:space="preserve">fachlich grob fahrlässig</w:t>
      </w:r>
      <w:r>
        <w:rPr>
          <w:rFonts w:ascii="Arial" w:cs="Arial" w:eastAsia="Arial" w:hAnsi="Arial"/>
          <w:sz w:val="22"/>
          <w:szCs w:val="22"/>
        </w:rPr>
        <w:t xml:space="preserve"> und widerspricht den zwingenden Vorgaben der DIN 68800-4 in ihrem Kernbereich.</w:t>
      </w:r>
    </w:p>
    <w:p>
      <w:pPr>
        <w:pStyle w:val="Heading2"/>
        <w:spacing w:after="100" w:before="200"/>
      </w:pPr>
      <w:r>
        <w:rPr>
          <w:rFonts w:ascii="Arial" w:cs="Arial" w:eastAsia="Arial" w:hAnsi="Arial"/>
          <w:b/>
          <w:bCs/>
          <w:color w:val="1a1a1a"/>
          <w:sz w:val="24"/>
          <w:szCs w:val="24"/>
        </w:rPr>
        <w:t xml:space="preserve">1.2 Pflicht zur Ermittlung der Befallsausdehnung</w:t>
      </w:r>
    </w:p>
    <w:p>
      <w:pPr>
        <w:spacing w:after="120"/>
        <w:jc w:val="both"/>
      </w:pPr>
      <w:r>
        <w:rPr>
          <w:rFonts w:ascii="Arial" w:cs="Arial" w:eastAsia="Arial" w:hAnsi="Arial"/>
          <w:sz w:val="22"/>
          <w:szCs w:val="22"/>
        </w:rPr>
        <w:t xml:space="preserve">DIN 68800-4, Abschnitt 7, verlangt die </w:t>
      </w:r>
      <w:r>
        <w:rPr>
          <w:rFonts w:ascii="Arial" w:cs="Arial" w:eastAsia="Arial" w:hAnsi="Arial"/>
          <w:b/>
          <w:bCs/>
          <w:sz w:val="22"/>
          <w:szCs w:val="22"/>
        </w:rPr>
        <w:t xml:space="preserve">vollständige Ermittlung der Befallsausdehnung</w:t>
      </w:r>
      <w:r>
        <w:rPr>
          <w:rFonts w:ascii="Arial" w:cs="Arial" w:eastAsia="Arial" w:hAnsi="Arial"/>
          <w:sz w:val="22"/>
          <w:szCs w:val="22"/>
        </w:rPr>
        <w:t xml:space="preserve"> einschließlich der Öffnung verdeckter Bauteile. Bei 700 m³ Wasseraustritt über 12–18 Monate in eine geschlossene Kammerkonstruktion mit 12 cm Mineralwolle – die einmal durchfeuchtet in den geschlossenen Kammern praktisch nicht trocknen kann – besteht der Verdacht einer weitreichenden Ausbreitung zweifelsfrei.</w:t>
      </w:r>
    </w:p>
    <w:p>
      <w:pPr>
        <w:pStyle w:val="Heading2"/>
        <w:spacing w:after="100" w:before="200"/>
      </w:pPr>
      <w:r>
        <w:rPr>
          <w:rFonts w:ascii="Arial" w:cs="Arial" w:eastAsia="Arial" w:hAnsi="Arial"/>
          <w:b/>
          <w:bCs/>
          <w:color w:val="1a1a1a"/>
          <w:sz w:val="24"/>
          <w:szCs w:val="24"/>
        </w:rPr>
        <w:t xml:space="preserve">1.3 Quellennahes Nachverfolgen der Schadensgrenze</w:t>
      </w:r>
    </w:p>
    <w:p>
      <w:pPr>
        <w:spacing w:after="120"/>
        <w:jc w:val="both"/>
      </w:pPr>
      <w:r>
        <w:rPr>
          <w:rFonts w:ascii="Arial" w:cs="Arial" w:eastAsia="Arial" w:hAnsi="Arial"/>
          <w:sz w:val="22"/>
          <w:szCs w:val="22"/>
        </w:rPr>
        <w:t xml:space="preserve">DIN 68800-4 fordert einen </w:t>
      </w:r>
      <w:r>
        <w:rPr>
          <w:rFonts w:ascii="Arial" w:cs="Arial" w:eastAsia="Arial" w:hAnsi="Arial"/>
          <w:b/>
          <w:bCs/>
          <w:sz w:val="22"/>
          <w:szCs w:val="22"/>
        </w:rPr>
        <w:t xml:space="preserve">Sicherheitsbereich von mindestens 1,0–1,5 m</w:t>
      </w:r>
      <w:r>
        <w:rPr>
          <w:rFonts w:ascii="Arial" w:cs="Arial" w:eastAsia="Arial" w:hAnsi="Arial"/>
          <w:sz w:val="22"/>
          <w:szCs w:val="22"/>
        </w:rPr>
        <w:t xml:space="preserve"> über den sichtbaren Befall hinaus. Die Norm verlangt ein </w:t>
      </w:r>
      <w:r>
        <w:rPr>
          <w:rFonts w:ascii="Arial" w:cs="Arial" w:eastAsia="Arial" w:hAnsi="Arial"/>
          <w:b/>
          <w:bCs/>
          <w:sz w:val="22"/>
          <w:szCs w:val="22"/>
        </w:rPr>
        <w:t xml:space="preserve">systematisches, quellennahes Vorgehen</w:t>
      </w:r>
      <w:r>
        <w:rPr>
          <w:rFonts w:ascii="Arial" w:cs="Arial" w:eastAsia="Arial" w:hAnsi="Arial"/>
          <w:sz w:val="22"/>
          <w:szCs w:val="22"/>
        </w:rPr>
        <w:t xml:space="preserve">: Ausgehend vom bestätigten Schadensbereich ist die Befallsgrenze durch </w:t>
      </w:r>
      <w:r>
        <w:rPr>
          <w:rFonts w:ascii="Arial" w:cs="Arial" w:eastAsia="Arial" w:hAnsi="Arial"/>
          <w:b/>
          <w:bCs/>
          <w:sz w:val="22"/>
          <w:szCs w:val="22"/>
        </w:rPr>
        <w:t xml:space="preserve">schrittweises Öffnen</w:t>
      </w:r>
      <w:r>
        <w:rPr>
          <w:rFonts w:ascii="Arial" w:cs="Arial" w:eastAsia="Arial" w:hAnsi="Arial"/>
          <w:sz w:val="22"/>
          <w:szCs w:val="22"/>
        </w:rPr>
        <w:t xml:space="preserve"> zu ermitteln. Die nächste Untersuchungsstelle darf </w:t>
      </w:r>
      <w:r>
        <w:rPr>
          <w:rFonts w:ascii="Arial" w:cs="Arial" w:eastAsia="Arial" w:hAnsi="Arial"/>
          <w:b/>
          <w:bCs/>
          <w:sz w:val="22"/>
          <w:szCs w:val="22"/>
        </w:rPr>
        <w:t xml:space="preserve">maximal 1,0–1,5 m</w:t>
      </w:r>
      <w:r>
        <w:rPr>
          <w:rFonts w:ascii="Arial" w:cs="Arial" w:eastAsia="Arial" w:hAnsi="Arial"/>
          <w:sz w:val="22"/>
          <w:szCs w:val="22"/>
        </w:rPr>
        <w:t xml:space="preserve"> vom letzten positiven Befund entfernt liegen.</w:t>
      </w:r>
    </w:p>
    <w:p>
      <w:pPr>
        <w:spacing w:after="120"/>
        <w:jc w:val="both"/>
      </w:pPr>
      <w:r>
        <w:rPr>
          <w:rFonts w:ascii="Arial" w:cs="Arial" w:eastAsia="Arial" w:hAnsi="Arial"/>
          <w:sz w:val="22"/>
          <w:szCs w:val="22"/>
        </w:rPr>
        <w:t xml:space="preserve">Nur durch </w:t>
      </w:r>
      <w:r>
        <w:rPr>
          <w:rFonts w:ascii="Arial" w:cs="Arial" w:eastAsia="Arial" w:hAnsi="Arial"/>
          <w:b/>
          <w:bCs/>
          <w:sz w:val="22"/>
          <w:szCs w:val="22"/>
        </w:rPr>
        <w:t xml:space="preserve">lückenlose Nachverfolgung vom Kern des Schadens nach außen</w:t>
      </w:r>
      <w:r>
        <w:rPr>
          <w:rFonts w:ascii="Arial" w:cs="Arial" w:eastAsia="Arial" w:hAnsi="Arial"/>
          <w:sz w:val="22"/>
          <w:szCs w:val="22"/>
        </w:rPr>
        <w:t xml:space="preserve"> lässt sich die tatsächliche Schadensgrenze sicher bestimmen. Ein Sprung von 3–4 Metern lässt den gesamten Bereich dazwischen ungeprüft.</w:t>
      </w:r>
    </w:p>
    <w:p>
      <w:pPr>
        <w:pStyle w:val="Heading2"/>
        <w:spacing w:after="100" w:before="200"/>
      </w:pPr>
      <w:r>
        <w:rPr>
          <w:rFonts w:ascii="Arial" w:cs="Arial" w:eastAsia="Arial" w:hAnsi="Arial"/>
          <w:b/>
          <w:bCs/>
          <w:color w:val="1a1a1a"/>
          <w:sz w:val="24"/>
          <w:szCs w:val="24"/>
        </w:rPr>
        <w:t xml:space="preserve">1.4 Abbruchkriterium: Ausgleichsfeuchte, nicht Augenschein</w:t>
      </w:r>
    </w:p>
    <w:p>
      <w:pPr>
        <w:spacing w:after="120"/>
        <w:jc w:val="both"/>
      </w:pPr>
      <w:r>
        <w:rPr>
          <w:rFonts w:ascii="Arial" w:cs="Arial" w:eastAsia="Arial" w:hAnsi="Arial"/>
          <w:sz w:val="22"/>
          <w:szCs w:val="22"/>
        </w:rPr>
        <w:t xml:space="preserve">Die Untersuchung darf nicht dort enden, wo die Oberfläche </w:t>
      </w:r>
      <w:r>
        <w:rPr>
          <w:rFonts w:ascii="Arial" w:cs="Arial" w:eastAsia="Arial" w:hAnsi="Arial"/>
          <w:b/>
          <w:bCs/>
          <w:sz w:val="22"/>
          <w:szCs w:val="22"/>
        </w:rPr>
        <w:t xml:space="preserve">trocken erscheint</w:t>
      </w:r>
      <w:r>
        <w:rPr>
          <w:rFonts w:ascii="Arial" w:cs="Arial" w:eastAsia="Arial" w:hAnsi="Arial"/>
          <w:sz w:val="22"/>
          <w:szCs w:val="22"/>
        </w:rPr>
        <w:t xml:space="preserve">. Maßgeblich ist der messtechnische Nachweis der Holzfeuchte. Die DIN 68800-1 (Holzschutz – Allgemeines) definiert die </w:t>
      </w:r>
      <w:r>
        <w:rPr>
          <w:rFonts w:ascii="Arial" w:cs="Arial" w:eastAsia="Arial" w:hAnsi="Arial"/>
          <w:b/>
          <w:bCs/>
          <w:sz w:val="22"/>
          <w:szCs w:val="22"/>
        </w:rPr>
        <w:t xml:space="preserve">Gebrauchsklasse 0 (GK 0)</w:t>
      </w:r>
      <w:r>
        <w:rPr>
          <w:rFonts w:ascii="Arial" w:cs="Arial" w:eastAsia="Arial" w:hAnsi="Arial"/>
          <w:sz w:val="22"/>
          <w:szCs w:val="22"/>
        </w:rPr>
        <w:t xml:space="preserve"> als den Zustand, in dem die Holzfeuchte dauerhaft </w:t>
      </w:r>
      <w:r>
        <w:rPr>
          <w:rFonts w:ascii="Arial" w:cs="Arial" w:eastAsia="Arial" w:hAnsi="Arial"/>
          <w:b/>
          <w:bCs/>
          <w:sz w:val="22"/>
          <w:szCs w:val="22"/>
        </w:rPr>
        <w:t xml:space="preserve">20 % nicht überschreitet</w:t>
      </w:r>
      <w:r>
        <w:rPr>
          <w:rFonts w:ascii="Arial" w:cs="Arial" w:eastAsia="Arial" w:hAnsi="Arial"/>
          <w:sz w:val="22"/>
          <w:szCs w:val="22"/>
        </w:rPr>
        <w:t xml:space="preserve">. Oberhalb dieser Schwelle besteht Befallsgefährdung. Die materialübliche Ausgleichsfeuchte von Holz in beheizten Innenräumen liegt bei etwa </w:t>
      </w:r>
      <w:r>
        <w:rPr>
          <w:rFonts w:ascii="Arial" w:cs="Arial" w:eastAsia="Arial" w:hAnsi="Arial"/>
          <w:b/>
          <w:bCs/>
          <w:sz w:val="22"/>
          <w:szCs w:val="22"/>
        </w:rPr>
        <w:t xml:space="preserve">9–12 %</w:t>
      </w:r>
      <w:r>
        <w:rPr>
          <w:rFonts w:ascii="Arial" w:cs="Arial" w:eastAsia="Arial" w:hAnsi="Arial"/>
          <w:sz w:val="22"/>
          <w:szCs w:val="22"/>
        </w:rPr>
        <w:t xml:space="preserve">.</w:t>
      </w:r>
    </w:p>
    <w:p>
      <w:pPr>
        <w:spacing w:after="120"/>
        <w:jc w:val="both"/>
      </w:pPr>
      <w:r>
        <w:rPr>
          <w:rFonts w:ascii="Arial" w:cs="Arial" w:eastAsia="Arial" w:hAnsi="Arial"/>
          <w:sz w:val="22"/>
          <w:szCs w:val="22"/>
        </w:rPr>
        <w:t xml:space="preserve">Die schrittweise Untersuchung muss so weit vom Schadenskern nach außen fortgesetzt werden, bis die gemessene Holzfeuchte nachweislich wieder im Bereich der </w:t>
      </w:r>
      <w:r>
        <w:rPr>
          <w:rFonts w:ascii="Arial" w:cs="Arial" w:eastAsia="Arial" w:hAnsi="Arial"/>
          <w:b/>
          <w:bCs/>
          <w:sz w:val="22"/>
          <w:szCs w:val="22"/>
        </w:rPr>
        <w:t xml:space="preserve">materialüblichen Ausgleichsfeuchte</w:t>
      </w:r>
      <w:r>
        <w:rPr>
          <w:rFonts w:ascii="Arial" w:cs="Arial" w:eastAsia="Arial" w:hAnsi="Arial"/>
          <w:sz w:val="22"/>
          <w:szCs w:val="22"/>
        </w:rPr>
        <w:t xml:space="preserve"> liegt. Der Zielwert hängt dabei von der Nutzungsklasse des jeweiligen Bauteils ab: Für Holzbauteile in beheizten Innenräumen (</w:t>
      </w:r>
      <w:r>
        <w:rPr>
          <w:rFonts w:ascii="Arial" w:cs="Arial" w:eastAsia="Arial" w:hAnsi="Arial"/>
          <w:b/>
          <w:bCs/>
          <w:sz w:val="22"/>
          <w:szCs w:val="22"/>
        </w:rPr>
        <w:t xml:space="preserve">NKL 1</w:t>
      </w:r>
      <w:r>
        <w:rPr>
          <w:rFonts w:ascii="Arial" w:cs="Arial" w:eastAsia="Arial" w:hAnsi="Arial"/>
          <w:sz w:val="22"/>
          <w:szCs w:val="22"/>
        </w:rPr>
        <w:t xml:space="preserve">) liegt die Ausgleichsfeuchte bei </w:t>
      </w:r>
      <w:r>
        <w:rPr>
          <w:rFonts w:ascii="Arial" w:cs="Arial" w:eastAsia="Arial" w:hAnsi="Arial"/>
          <w:b/>
          <w:bCs/>
          <w:sz w:val="22"/>
          <w:szCs w:val="22"/>
        </w:rPr>
        <w:t xml:space="preserve">9–12 %</w:t>
      </w:r>
      <w:r>
        <w:rPr>
          <w:rFonts w:ascii="Arial" w:cs="Arial" w:eastAsia="Arial" w:hAnsi="Arial"/>
          <w:sz w:val="22"/>
          <w:szCs w:val="22"/>
        </w:rPr>
        <w:t xml:space="preserve">; für Bauteile in überdachten, nicht beheizten Bereichen (</w:t>
      </w:r>
      <w:r>
        <w:rPr>
          <w:rFonts w:ascii="Arial" w:cs="Arial" w:eastAsia="Arial" w:hAnsi="Arial"/>
          <w:b/>
          <w:bCs/>
          <w:sz w:val="22"/>
          <w:szCs w:val="22"/>
        </w:rPr>
        <w:t xml:space="preserve">NKL 2</w:t>
      </w:r>
      <w:r>
        <w:rPr>
          <w:rFonts w:ascii="Arial" w:cs="Arial" w:eastAsia="Arial" w:hAnsi="Arial"/>
          <w:sz w:val="22"/>
          <w:szCs w:val="22"/>
        </w:rPr>
        <w:t xml:space="preserve">) bei </w:t>
      </w:r>
      <w:r>
        <w:rPr>
          <w:rFonts w:ascii="Arial" w:cs="Arial" w:eastAsia="Arial" w:hAnsi="Arial"/>
          <w:b/>
          <w:bCs/>
          <w:sz w:val="22"/>
          <w:szCs w:val="22"/>
        </w:rPr>
        <w:t xml:space="preserve">12–18 %</w:t>
      </w:r>
      <w:r>
        <w:rPr>
          <w:rFonts w:ascii="Arial" w:cs="Arial" w:eastAsia="Arial" w:hAnsi="Arial"/>
          <w:sz w:val="22"/>
          <w:szCs w:val="22"/>
        </w:rPr>
        <w:t xml:space="preserve">. Ein Messwert, der zwar unter 20 % liegt, aber deutlich über der jeweils zutreffenden Ausgleichsfeuchte, zeigt weiterhin eine schadensbedingte Durchfeuchtung an und </w:t>
      </w:r>
      <w:r>
        <w:rPr>
          <w:rFonts w:ascii="Arial" w:cs="Arial" w:eastAsia="Arial" w:hAnsi="Arial"/>
          <w:b/>
          <w:bCs/>
          <w:sz w:val="22"/>
          <w:szCs w:val="22"/>
        </w:rPr>
        <w:t xml:space="preserve">belegt, dass der Schaden bis hierhin reicht</w:t>
      </w:r>
      <w:r>
        <w:rPr>
          <w:rFonts w:ascii="Arial" w:cs="Arial" w:eastAsia="Arial" w:hAnsi="Arial"/>
          <w:sz w:val="22"/>
          <w:szCs w:val="22"/>
        </w:rPr>
        <w:t xml:space="preserve">. Erst bei Rückkehr zur bauteiltypischen Ausgleichsfeuchte kann die Schadensgrenze als gesichert gelten.</w:t>
      </w:r>
    </w:p>
    <w:p>
      <w:pPr>
        <w:pStyle w:val="Heading2"/>
        <w:spacing w:after="100" w:before="200"/>
      </w:pPr>
      <w:r>
        <w:rPr>
          <w:rFonts w:ascii="Arial" w:cs="Arial" w:eastAsia="Arial" w:hAnsi="Arial"/>
          <w:b/>
          <w:bCs/>
          <w:color w:val="1a1a1a"/>
          <w:sz w:val="24"/>
          <w:szCs w:val="24"/>
        </w:rPr>
        <w:t xml:space="preserve">1.5 Bewertung der einzigen dokumentierten Messung (Foto 16)</w:t>
      </w:r>
    </w:p>
    <w:p>
      <w:pPr>
        <w:spacing w:after="120"/>
        <w:jc w:val="both"/>
      </w:pPr>
      <w:r>
        <w:rPr>
          <w:rFonts w:ascii="Arial" w:cs="Arial" w:eastAsia="Arial" w:hAnsi="Arial"/>
          <w:sz w:val="22"/>
          <w:szCs w:val="22"/>
        </w:rPr>
        <w:t xml:space="preserve">Herr Schuchardt dokumentiert in seiner Fotodokumentation (Foto 16) eine Feuchtemessung an einer 1,3-cm-Einschubplatte in der Sondierungsöffnung in der Ecke des Essbereichs zur Terrassentür. Diese Messstelle befindet sich in einem Abstand von ca. </w:t>
      </w:r>
      <w:r>
        <w:rPr>
          <w:rFonts w:ascii="Arial" w:cs="Arial" w:eastAsia="Arial" w:hAnsi="Arial"/>
          <w:b/>
          <w:bCs/>
          <w:sz w:val="22"/>
          <w:szCs w:val="22"/>
        </w:rPr>
        <w:t xml:space="preserve">4–6 Metern</w:t>
      </w:r>
      <w:r>
        <w:rPr>
          <w:rFonts w:ascii="Arial" w:cs="Arial" w:eastAsia="Arial" w:hAnsi="Arial"/>
          <w:sz w:val="22"/>
          <w:szCs w:val="22"/>
        </w:rPr>
        <w:t xml:space="preserve"> vom letzten geöffneten Bereich mit nachgewiesener massiver Durchfeuchtung. Bei einem normativen Untersuchungsraster von maximal 1,0–1,5 m (vgl. Abschnitt 1.3) bedeutet dies, dass der </w:t>
      </w:r>
      <w:r>
        <w:rPr>
          <w:rFonts w:ascii="Arial" w:cs="Arial" w:eastAsia="Arial" w:hAnsi="Arial"/>
          <w:b/>
          <w:bCs/>
          <w:sz w:val="22"/>
          <w:szCs w:val="22"/>
        </w:rPr>
        <w:t xml:space="preserve">gesamte Bereich dazwischen ungeprüft</w:t>
      </w:r>
      <w:r>
        <w:rPr>
          <w:rFonts w:ascii="Arial" w:cs="Arial" w:eastAsia="Arial" w:hAnsi="Arial"/>
          <w:sz w:val="22"/>
          <w:szCs w:val="22"/>
        </w:rPr>
        <w:t xml:space="preserve"> geblieben ist – mindestens 3–4 Untersuchungsstellen fehlen.</w:t>
      </w:r>
    </w:p>
    <w:p>
      <w:pPr>
        <w:spacing w:after="120"/>
        <w:jc w:val="both"/>
      </w:pPr>
      <w:r>
        <w:rPr>
          <w:rFonts w:ascii="Arial" w:cs="Arial" w:eastAsia="Arial" w:hAnsi="Arial"/>
          <w:sz w:val="22"/>
          <w:szCs w:val="22"/>
        </w:rPr>
        <w:t xml:space="preserve">Diese Messstelle kann daher keine Aussage über die Schadensgrenze treffen, denn sie liegt </w:t>
      </w:r>
      <w:r>
        <w:rPr>
          <w:rFonts w:ascii="Arial" w:cs="Arial" w:eastAsia="Arial" w:hAnsi="Arial"/>
          <w:b/>
          <w:bCs/>
          <w:sz w:val="22"/>
          <w:szCs w:val="22"/>
        </w:rPr>
        <w:t xml:space="preserve">jenseits</w:t>
      </w:r>
      <w:r>
        <w:rPr>
          <w:rFonts w:ascii="Arial" w:cs="Arial" w:eastAsia="Arial" w:hAnsi="Arial"/>
          <w:sz w:val="22"/>
          <w:szCs w:val="22"/>
        </w:rPr>
        <w:t xml:space="preserve"> des normativen Untersuchungsrasters und nicht am Ende einer lückenlosen, schrittweisen Nachverfolgung vom Schadenskern nach außen. Ob der dort gemessene Wert erhöht ist oder nicht, ist nachrangig – entscheidend ist, dass die DIN 68800-4 eine </w:t>
      </w:r>
      <w:r>
        <w:rPr>
          <w:rFonts w:ascii="Arial" w:cs="Arial" w:eastAsia="Arial" w:hAnsi="Arial"/>
          <w:b/>
          <w:bCs/>
          <w:sz w:val="22"/>
          <w:szCs w:val="22"/>
        </w:rPr>
        <w:t xml:space="preserve">quellennahe, schrittweise Vorgehensweise</w:t>
      </w:r>
      <w:r>
        <w:rPr>
          <w:rFonts w:ascii="Arial" w:cs="Arial" w:eastAsia="Arial" w:hAnsi="Arial"/>
          <w:sz w:val="22"/>
          <w:szCs w:val="22"/>
        </w:rPr>
        <w:t xml:space="preserve"> vorschreibt, die hier nicht eingehalten wurde. Ein Sprung von 4–6 Metern über ungeprüftes Gebiet hinweg kann eine Schadensbegrenzung nicht belegen.</w:t>
      </w:r>
    </w:p>
    <w:p>
      <w:pPr>
        <w:spacing w:after="120"/>
        <w:jc w:val="both"/>
      </w:pPr>
      <w:r>
        <w:rPr>
          <w:rFonts w:ascii="Arial" w:cs="Arial" w:eastAsia="Arial" w:hAnsi="Arial"/>
          <w:sz w:val="22"/>
          <w:szCs w:val="22"/>
        </w:rPr>
        <w:t xml:space="preserve">Nach DIN 68800-4 hätte die Untersuchung nicht an einem einzelnen, weit entfernten Punkt enden dürfen, sondern hätte </w:t>
      </w:r>
      <w:r>
        <w:rPr>
          <w:rFonts w:ascii="Arial" w:cs="Arial" w:eastAsia="Arial" w:hAnsi="Arial"/>
          <w:b/>
          <w:bCs/>
          <w:sz w:val="22"/>
          <w:szCs w:val="22"/>
        </w:rPr>
        <w:t xml:space="preserve">vom letzten bestätigten Schadensbereich aus in Schritten von maximal 1,0–1,5 m nach außen fortgesetzt</w:t>
      </w:r>
      <w:r>
        <w:rPr>
          <w:rFonts w:ascii="Arial" w:cs="Arial" w:eastAsia="Arial" w:hAnsi="Arial"/>
          <w:sz w:val="22"/>
          <w:szCs w:val="22"/>
        </w:rPr>
        <w:t xml:space="preserve"> werden müssen – unter Einbeziehung aller Konstruktionsschichten, nicht nur der am leichtesten zugänglichen Einschubplatte.</w:t>
      </w:r>
    </w:p>
    <w:p>
      <w:pPr>
        <w:pStyle w:val="Heading2"/>
        <w:spacing w:after="100" w:before="200"/>
      </w:pPr>
      <w:r>
        <w:rPr>
          <w:rFonts w:ascii="Arial" w:cs="Arial" w:eastAsia="Arial" w:hAnsi="Arial"/>
          <w:b/>
          <w:bCs/>
          <w:color w:val="1a1a1a"/>
          <w:sz w:val="24"/>
          <w:szCs w:val="24"/>
        </w:rPr>
        <w:t xml:space="preserve">1.6 Konkrete Abstände der Sondierungen</w:t>
      </w:r>
    </w:p>
    <w:p>
      <w:pPr>
        <w:spacing w:after="120"/>
        <w:jc w:val="both"/>
      </w:pPr>
      <w:r>
        <w:rPr>
          <w:rFonts w:ascii="Arial" w:cs="Arial" w:eastAsia="Arial" w:hAnsi="Arial"/>
          <w:sz w:val="22"/>
          <w:szCs w:val="22"/>
        </w:rPr>
        <w:t xml:space="preserve">Die Sondierungsöffnung am Ende des Bodenfliesenfeldes in der Küche befindet sich in einem Abstand von ca. </w:t>
      </w:r>
      <w:r>
        <w:rPr>
          <w:rFonts w:ascii="Arial" w:cs="Arial" w:eastAsia="Arial" w:hAnsi="Arial"/>
          <w:b/>
          <w:bCs/>
          <w:sz w:val="22"/>
          <w:szCs w:val="22"/>
        </w:rPr>
        <w:t xml:space="preserve">3–4 Metern</w:t>
      </w:r>
      <w:r>
        <w:rPr>
          <w:rFonts w:ascii="Arial" w:cs="Arial" w:eastAsia="Arial" w:hAnsi="Arial"/>
          <w:sz w:val="22"/>
          <w:szCs w:val="22"/>
        </w:rPr>
        <w:t xml:space="preserve"> von der letzten geöffneten Stelle mit nachgewiesener massiver Durchfeuchtung. Die Sondierungsöffnung im Essbereich liegt sogar ca. </w:t>
      </w:r>
      <w:r>
        <w:rPr>
          <w:rFonts w:ascii="Arial" w:cs="Arial" w:eastAsia="Arial" w:hAnsi="Arial"/>
          <w:b/>
          <w:bCs/>
          <w:sz w:val="22"/>
          <w:szCs w:val="22"/>
        </w:rPr>
        <w:t xml:space="preserve">4–6 Meter</w:t>
      </w:r>
      <w:r>
        <w:rPr>
          <w:rFonts w:ascii="Arial" w:cs="Arial" w:eastAsia="Arial" w:hAnsi="Arial"/>
          <w:sz w:val="22"/>
          <w:szCs w:val="22"/>
        </w:rPr>
        <w:t xml:space="preserve"> vom letzten positiven Befund entfernt.</w:t>
      </w:r>
    </w:p>
    <w:p>
      <w:pPr>
        <w:spacing w:after="120"/>
        <w:jc w:val="both"/>
      </w:pPr>
      <w:r>
        <w:rPr>
          <w:rFonts w:ascii="Arial" w:cs="Arial" w:eastAsia="Arial" w:hAnsi="Arial"/>
          <w:sz w:val="22"/>
          <w:szCs w:val="22"/>
        </w:rPr>
        <w:t xml:space="preserve">Bei einem normativen Untersuchungsraster von maximal 1,0–1,5 m bedeutet ein Sprung von 3–4 bzw. 4–6 Metern, dass </w:t>
      </w:r>
      <w:r>
        <w:rPr>
          <w:rFonts w:ascii="Arial" w:cs="Arial" w:eastAsia="Arial" w:hAnsi="Arial"/>
          <w:b/>
          <w:bCs/>
          <w:sz w:val="22"/>
          <w:szCs w:val="22"/>
        </w:rPr>
        <w:t xml:space="preserve">mindestens 2–4 Untersuchungsstellen dazwischen fehlen</w:t>
      </w:r>
      <w:r>
        <w:rPr>
          <w:rFonts w:ascii="Arial" w:cs="Arial" w:eastAsia="Arial" w:hAnsi="Arial"/>
          <w:sz w:val="22"/>
          <w:szCs w:val="22"/>
        </w:rPr>
        <w:t xml:space="preserve">. Der gesamte Bereich zwischen dem bestätigten Schadensbereich und den Sondierungsöffnungen ist </w:t>
      </w:r>
      <w:r>
        <w:rPr>
          <w:rFonts w:ascii="Arial" w:cs="Arial" w:eastAsia="Arial" w:hAnsi="Arial"/>
          <w:b/>
          <w:bCs/>
          <w:sz w:val="22"/>
          <w:szCs w:val="22"/>
        </w:rPr>
        <w:t xml:space="preserve">ungeprüft</w:t>
      </w:r>
      <w:r>
        <w:rPr>
          <w:rFonts w:ascii="Arial" w:cs="Arial" w:eastAsia="Arial" w:hAnsi="Arial"/>
          <w:sz w:val="22"/>
          <w:szCs w:val="22"/>
        </w:rPr>
        <w:t xml:space="preserve">. Eine Aussage über die Schadensgrenze ist auf dieser Grundlage nicht möglich – zumal die einzige dokumentierte Messung (Foto 16, 13 %) gerade belegt, dass die Feuchte selbst in 4–6 Metern Entfernung noch nicht auf den Normalwert zurückgekehrt ist.</w:t>
      </w:r>
    </w:p>
    <w:p>
      <w:pPr>
        <w:spacing w:after="120"/>
        <w:jc w:val="both"/>
      </w:pPr>
      <w:r>
        <w:rPr>
          <w:rFonts w:ascii="Arial" w:cs="Arial" w:eastAsia="Arial" w:hAnsi="Arial"/>
          <w:sz w:val="22"/>
          <w:szCs w:val="22"/>
        </w:rPr>
        <w:t xml:space="preserve">Hinzu kommt: Die Sondierungen erfassen lediglich den Kammerdeckel (2,2 cm Holzspanplatte) und die Einschubunterlage – nicht die darunterliegenden 12 cm Mineralwolle in den geschlossenen Kammern, den Sandboden und die Balkenlage, in denen die Feuchtigkeit gemäß dem oben beschriebenen Mechanismus tatsächlich sitzt.</w:t>
      </w:r>
    </w:p>
    <w:p>
      <w:pPr>
        <w:pStyle w:val="Heading1"/>
        <w:spacing w:after="120" w:before="280"/>
      </w:pPr>
      <w:r>
        <w:rPr>
          <w:rFonts w:ascii="Arial" w:cs="Arial" w:eastAsia="Arial" w:hAnsi="Arial"/>
          <w:b/>
          <w:bCs/>
          <w:color w:val="1a1a1a"/>
          <w:sz w:val="26"/>
          <w:szCs w:val="26"/>
        </w:rPr>
        <w:t xml:space="preserve">2. Schadenszeitraum und Ausbreitungswahrscheinlichkeit</w:t>
      </w:r>
    </w:p>
    <w:p>
      <w:pPr>
        <w:spacing w:after="120"/>
        <w:jc w:val="both"/>
      </w:pPr>
      <w:r>
        <w:rPr>
          <w:rFonts w:ascii="Arial" w:cs="Arial" w:eastAsia="Arial" w:hAnsi="Arial"/>
          <w:sz w:val="22"/>
          <w:szCs w:val="22"/>
        </w:rPr>
        <w:t xml:space="preserve">Die an den freigelegten Wasserleitungen dokumentierte </w:t>
      </w:r>
      <w:r>
        <w:rPr>
          <w:rFonts w:ascii="Arial" w:cs="Arial" w:eastAsia="Arial" w:hAnsi="Arial"/>
          <w:b/>
          <w:bCs/>
          <w:sz w:val="22"/>
          <w:szCs w:val="22"/>
        </w:rPr>
        <w:t xml:space="preserve">Lochfraßkorrosion</w:t>
      </w:r>
      <w:r>
        <w:rPr>
          <w:rFonts w:ascii="Arial" w:cs="Arial" w:eastAsia="Arial" w:hAnsi="Arial"/>
          <w:sz w:val="22"/>
          <w:szCs w:val="22"/>
        </w:rPr>
        <w:t xml:space="preserve"> (Punkt 9/9a) weist eine Entwicklungszeit von </w:t>
      </w:r>
      <w:r>
        <w:rPr>
          <w:rFonts w:ascii="Arial" w:cs="Arial" w:eastAsia="Arial" w:hAnsi="Arial"/>
          <w:b/>
          <w:bCs/>
          <w:sz w:val="22"/>
          <w:szCs w:val="22"/>
        </w:rPr>
        <w:t xml:space="preserve">mindestens 12–18 Monaten</w:t>
      </w:r>
      <w:r>
        <w:rPr>
          <w:rFonts w:ascii="Arial" w:cs="Arial" w:eastAsia="Arial" w:hAnsi="Arial"/>
          <w:sz w:val="22"/>
          <w:szCs w:val="22"/>
        </w:rPr>
        <w:t xml:space="preserve"> auf. Über diesen gesamten Zeitraum ist kontinuierlich Wasser in die Bodenkonstruktion eingedrungen.</w:t>
      </w:r>
    </w:p>
    <w:p>
      <w:pPr>
        <w:spacing w:after="120"/>
        <w:jc w:val="both"/>
      </w:pPr>
      <w:r>
        <w:rPr>
          <w:rFonts w:ascii="Arial" w:cs="Arial" w:eastAsia="Arial" w:hAnsi="Arial"/>
          <w:sz w:val="22"/>
          <w:szCs w:val="22"/>
        </w:rPr>
        <w:t xml:space="preserve">Innerhalb der Kammern fließt das Wasser schwerkraftgetrieben auf die Einschubplatte und breitet sich entlang des Kammerbodens aus. Die Mineralwolle durchfeuchtet von unten und trocknet in den geschlossenen Kammern nicht mehr. Von Kammer zu Kammer gelangt die Feuchtigkeit sowohl über die Leitungsdurchführungen in den Balken als auch durch Diffusion quer durch die 4,7 cm breiten Balken; als Dampf verteilt sie sich frei durch die diffusionsoffene Mineralwolle. Auf Sandebene (nach Versagen der Unterplatte) gibt es keinerlei Begrenzung mehr. Eine Beschränkung auf nur drei Räume ist bei dieser Schadensdauer </w:t>
      </w:r>
      <w:r>
        <w:rPr>
          <w:rFonts w:ascii="Arial" w:cs="Arial" w:eastAsia="Arial" w:hAnsi="Arial"/>
          <w:b/>
          <w:bCs/>
          <w:sz w:val="22"/>
          <w:szCs w:val="22"/>
        </w:rPr>
        <w:t xml:space="preserve">physikalisch nicht erklärbar</w:t>
      </w:r>
      <w:r>
        <w:rPr>
          <w:rFonts w:ascii="Arial" w:cs="Arial" w:eastAsia="Arial" w:hAnsi="Arial"/>
          <w:sz w:val="22"/>
          <w:szCs w:val="22"/>
        </w:rPr>
        <w:t xml:space="preserve">.</w:t>
      </w:r>
    </w:p>
    <w:p>
      <w:pPr>
        <w:spacing w:after="120"/>
        <w:jc w:val="both"/>
      </w:pPr>
      <w:r>
        <w:rPr>
          <w:rFonts w:ascii="Arial" w:cs="Arial" w:eastAsia="Arial" w:hAnsi="Arial"/>
          <w:sz w:val="22"/>
          <w:szCs w:val="22"/>
        </w:rPr>
        <w:t xml:space="preserve">Der Gutachter geht auf den Schadenszeitraum mit keinem Wort ein. Die </w:t>
      </w:r>
      <w:r>
        <w:rPr>
          <w:rFonts w:ascii="Arial" w:cs="Arial" w:eastAsia="Arial" w:hAnsi="Arial"/>
          <w:b/>
          <w:bCs/>
          <w:sz w:val="22"/>
          <w:szCs w:val="22"/>
        </w:rPr>
        <w:t xml:space="preserve">Dauer der Durchfeuchtung</w:t>
      </w:r>
      <w:r>
        <w:rPr>
          <w:rFonts w:ascii="Arial" w:cs="Arial" w:eastAsia="Arial" w:hAnsi="Arial"/>
          <w:sz w:val="22"/>
          <w:szCs w:val="22"/>
        </w:rPr>
        <w:t xml:space="preserve"> ist jedoch ein entscheidender Faktor für den Untersuchungsumfang – sowohl nach DIN 68800-4 als auch nach UBA-Schimmelleitfaden.</w:t>
      </w:r>
    </w:p>
    <w:p>
      <w:pPr>
        <w:pStyle w:val="Heading1"/>
        <w:spacing w:after="120" w:before="280"/>
      </w:pPr>
      <w:r>
        <w:rPr>
          <w:rFonts w:ascii="Arial" w:cs="Arial" w:eastAsia="Arial" w:hAnsi="Arial"/>
          <w:b/>
          <w:bCs/>
          <w:color w:val="1a1a1a"/>
          <w:sz w:val="26"/>
          <w:szCs w:val="26"/>
        </w:rPr>
        <w:t xml:space="preserve">3. Vorgaben des UBA-Schimmelleitfadens 2017</w:t>
      </w:r>
    </w:p>
    <w:p>
      <w:pPr>
        <w:spacing w:after="120"/>
        <w:jc w:val="both"/>
      </w:pPr>
      <w:r>
        <w:rPr>
          <w:rFonts w:ascii="Arial" w:cs="Arial" w:eastAsia="Arial" w:hAnsi="Arial"/>
          <w:sz w:val="22"/>
          <w:szCs w:val="22"/>
        </w:rPr>
        <w:t xml:space="preserve">Der Schimmelleitfaden des Umweltbundesamtes (2017, aktualisiert 2024) wird von Gerichten regelmäßig als Konkretisierung der a.a.R.d.T. herangezogen.</w:t>
      </w:r>
    </w:p>
    <w:p>
      <w:pPr>
        <w:pStyle w:val="Heading2"/>
        <w:spacing w:after="100" w:before="200"/>
      </w:pPr>
      <w:r>
        <w:rPr>
          <w:rFonts w:ascii="Arial" w:cs="Arial" w:eastAsia="Arial" w:hAnsi="Arial"/>
          <w:b/>
          <w:bCs/>
          <w:color w:val="1a1a1a"/>
          <w:sz w:val="24"/>
          <w:szCs w:val="24"/>
        </w:rPr>
        <w:t xml:space="preserve">3.1 Kategorisierung</w:t>
      </w:r>
    </w:p>
    <w:p>
      <w:pPr>
        <w:spacing w:after="120"/>
        <w:jc w:val="both"/>
      </w:pPr>
      <w:r>
        <w:rPr>
          <w:rFonts w:ascii="Arial" w:cs="Arial" w:eastAsia="Arial" w:hAnsi="Arial"/>
          <w:sz w:val="22"/>
          <w:szCs w:val="22"/>
        </w:rPr>
        <w:t xml:space="preserve">Angesichts der Schadensdauer (12–18 Monate), der Wassermengen (geschätzt 700 m³), der Fläche (mindestens 31 m²), des Befalls an tragenden Holzbauteilen und der nicht einsehbaren Hohlräume liegt eindeutig </w:t>
      </w:r>
      <w:r>
        <w:rPr>
          <w:rFonts w:ascii="Arial" w:cs="Arial" w:eastAsia="Arial" w:hAnsi="Arial"/>
          <w:b/>
          <w:bCs/>
          <w:sz w:val="22"/>
          <w:szCs w:val="22"/>
        </w:rPr>
        <w:t xml:space="preserve">Kategorie 3</w:t>
      </w:r>
      <w:r>
        <w:rPr>
          <w:rFonts w:ascii="Arial" w:cs="Arial" w:eastAsia="Arial" w:hAnsi="Arial"/>
          <w:sz w:val="22"/>
          <w:szCs w:val="22"/>
        </w:rPr>
        <w:t xml:space="preserve"> (großer Schaden) vor. Die Stellungnahme enthält keine Kategorisierung nach UBA.</w:t>
      </w:r>
    </w:p>
    <w:p>
      <w:pPr>
        <w:pStyle w:val="Heading2"/>
        <w:spacing w:after="100" w:before="200"/>
      </w:pPr>
      <w:r>
        <w:rPr>
          <w:rFonts w:ascii="Arial" w:cs="Arial" w:eastAsia="Arial" w:hAnsi="Arial"/>
          <w:b/>
          <w:bCs/>
          <w:color w:val="1a1a1a"/>
          <w:sz w:val="24"/>
          <w:szCs w:val="24"/>
        </w:rPr>
        <w:t xml:space="preserve">3.2 Pflichten bei Kategorie 3</w:t>
      </w:r>
    </w:p>
    <w:p>
      <w:pPr>
        <w:spacing w:after="120"/>
        <w:jc w:val="both"/>
      </w:pPr>
      <w:r>
        <w:rPr>
          <w:rFonts w:ascii="Arial" w:cs="Arial" w:eastAsia="Arial" w:hAnsi="Arial"/>
          <w:b/>
          <w:bCs/>
          <w:sz w:val="22"/>
          <w:szCs w:val="22"/>
        </w:rPr>
        <w:t xml:space="preserve">a) Fachgerechte Schadenserhebung: </w:t>
      </w:r>
      <w:r>
        <w:rPr>
          <w:rFonts w:ascii="Arial" w:cs="Arial" w:eastAsia="Arial" w:hAnsi="Arial"/>
          <w:sz w:val="22"/>
          <w:szCs w:val="22"/>
        </w:rPr>
        <w:t xml:space="preserve">Öffnung verdeckter Konstruktionen, Materialfeuchtemessung, Probenahme bei sichtbarem Befall. Die bisherigen Sondierungen erfassen nur den Kammerdeckel und die Einschubunterlage, nicht die 12 cm Mineralwolle in den geschlossenen Kammern, den Sandboden oder die Balkenlage. Die Abstände von 3–4 bzw. 4–6 m zum letzten positiven Befund sind normativ unzureichend – zumal die einzige dokumentierte Messung (13 %) selbst noch eine schadensbedingt erhöhte Feuchte zeigt.</w:t>
      </w:r>
    </w:p>
    <w:p>
      <w:pPr>
        <w:spacing w:after="120"/>
        <w:jc w:val="both"/>
      </w:pPr>
      <w:r>
        <w:rPr>
          <w:rFonts w:ascii="Arial" w:cs="Arial" w:eastAsia="Arial" w:hAnsi="Arial"/>
          <w:b/>
          <w:bCs/>
          <w:sz w:val="22"/>
          <w:szCs w:val="22"/>
        </w:rPr>
        <w:t xml:space="preserve">b) Systematische Schadensabgrenzung: </w:t>
      </w:r>
      <w:r>
        <w:rPr>
          <w:rFonts w:ascii="Arial" w:cs="Arial" w:eastAsia="Arial" w:hAnsi="Arial"/>
          <w:sz w:val="22"/>
          <w:szCs w:val="22"/>
        </w:rPr>
        <w:t xml:space="preserve">Der UBA-Leitfaden fordert die Feststellung der Schadensausdehnung durch </w:t>
      </w:r>
      <w:r>
        <w:rPr>
          <w:rFonts w:ascii="Arial" w:cs="Arial" w:eastAsia="Arial" w:hAnsi="Arial"/>
          <w:b/>
          <w:bCs/>
          <w:sz w:val="22"/>
          <w:szCs w:val="22"/>
        </w:rPr>
        <w:t xml:space="preserve">systematische, lückenlose Untersuchung vom Kern des Schadens nach außen</w:t>
      </w:r>
      <w:r>
        <w:rPr>
          <w:rFonts w:ascii="Arial" w:cs="Arial" w:eastAsia="Arial" w:hAnsi="Arial"/>
          <w:sz w:val="22"/>
          <w:szCs w:val="22"/>
        </w:rPr>
        <w:t xml:space="preserve">. Punktuelle Stichproben in großem Abstand genügen bei Kategorie 3 nicht.</w:t>
      </w:r>
    </w:p>
    <w:p>
      <w:pPr>
        <w:spacing w:after="120"/>
        <w:jc w:val="both"/>
      </w:pPr>
      <w:r>
        <w:rPr>
          <w:rFonts w:ascii="Arial" w:cs="Arial" w:eastAsia="Arial" w:hAnsi="Arial"/>
          <w:b/>
          <w:bCs/>
          <w:sz w:val="22"/>
          <w:szCs w:val="22"/>
        </w:rPr>
        <w:t xml:space="preserve">c) Sanierungskonzept erst nach vollständiger Erhebung: </w:t>
      </w:r>
      <w:r>
        <w:rPr>
          <w:rFonts w:ascii="Arial" w:cs="Arial" w:eastAsia="Arial" w:hAnsi="Arial"/>
          <w:sz w:val="22"/>
          <w:szCs w:val="22"/>
        </w:rPr>
        <w:t xml:space="preserve">Eine Begrenzung des Schadensumfangs ohne vollständige Untersuchung widerspricht dem Leitfaden.</w:t>
      </w:r>
    </w:p>
    <w:p>
      <w:pPr>
        <w:spacing w:after="120"/>
        <w:jc w:val="both"/>
      </w:pPr>
      <w:r>
        <w:rPr>
          <w:rFonts w:ascii="Arial" w:cs="Arial" w:eastAsia="Arial" w:hAnsi="Arial"/>
          <w:b/>
          <w:bCs/>
          <w:sz w:val="22"/>
          <w:szCs w:val="22"/>
        </w:rPr>
        <w:t xml:space="preserve">d) Freimessung nach Sanierung: </w:t>
      </w:r>
      <w:r>
        <w:rPr>
          <w:rFonts w:ascii="Arial" w:cs="Arial" w:eastAsia="Arial" w:hAnsi="Arial"/>
          <w:sz w:val="22"/>
          <w:szCs w:val="22"/>
        </w:rPr>
        <w:t xml:space="preserve">Der Leitfaden verlangt den messtechnischen Nachweis, dass die Sanierung erfolgreich war. Zielwert ist die Rückkehr zur materialüblichen Ausgleichsfeuchte (bei Holz in Innenräumen 9–12 %, vgl. DIN 68800-1, GK 0). Dies setzt voraus, dass der gesamte betroffene Bereich zuvor identifiziert wurde.</w:t>
      </w:r>
    </w:p>
    <w:p>
      <w:pPr>
        <w:pStyle w:val="Heading2"/>
        <w:spacing w:after="100" w:before="200"/>
      </w:pPr>
      <w:r>
        <w:rPr>
          <w:rFonts w:ascii="Arial" w:cs="Arial" w:eastAsia="Arial" w:hAnsi="Arial"/>
          <w:b/>
          <w:bCs/>
          <w:color w:val="1a1a1a"/>
          <w:sz w:val="24"/>
          <w:szCs w:val="24"/>
        </w:rPr>
        <w:t xml:space="preserve">3.3 Beweislast</w:t>
      </w:r>
    </w:p>
    <w:p>
      <w:pPr>
        <w:spacing w:after="120"/>
        <w:jc w:val="both"/>
      </w:pPr>
      <w:r>
        <w:rPr>
          <w:rFonts w:ascii="Arial" w:cs="Arial" w:eastAsia="Arial" w:hAnsi="Arial"/>
          <w:sz w:val="22"/>
          <w:szCs w:val="22"/>
        </w:rPr>
        <w:t xml:space="preserve">Der Versicherer schuldet die </w:t>
      </w:r>
      <w:r>
        <w:rPr>
          <w:rFonts w:ascii="Arial" w:cs="Arial" w:eastAsia="Arial" w:hAnsi="Arial"/>
          <w:b/>
          <w:bCs/>
          <w:sz w:val="22"/>
          <w:szCs w:val="22"/>
        </w:rPr>
        <w:t xml:space="preserve">Wiederherstellung des mangelfreien Zustands</w:t>
      </w:r>
      <w:r>
        <w:rPr>
          <w:rFonts w:ascii="Arial" w:cs="Arial" w:eastAsia="Arial" w:hAnsi="Arial"/>
          <w:sz w:val="22"/>
          <w:szCs w:val="22"/>
        </w:rPr>
        <w:t xml:space="preserve">. Die Beweislast für die vollständige Wiederherstellung liegt beim Versicherer. Bei einer geschlossenen Kammerkonstruktion mit 12 cm Mineralwolle über Sandboden ist dieser Nachweis ohne Öffnung nicht zu führen.</w:t>
      </w:r>
    </w:p>
    <w:p>
      <w:pPr>
        <w:pStyle w:val="Heading1"/>
        <w:spacing w:after="120" w:before="280"/>
      </w:pPr>
      <w:r>
        <w:rPr>
          <w:rFonts w:ascii="Arial" w:cs="Arial" w:eastAsia="Arial" w:hAnsi="Arial"/>
          <w:b/>
          <w:bCs/>
          <w:color w:val="1a1a1a"/>
          <w:sz w:val="26"/>
          <w:szCs w:val="26"/>
        </w:rPr>
        <w:t xml:space="preserve">4. Widerlegung der Heizraum-These</w:t>
      </w:r>
    </w:p>
    <w:p>
      <w:pPr>
        <w:spacing w:after="120"/>
        <w:jc w:val="both"/>
      </w:pPr>
      <w:r>
        <w:rPr>
          <w:rFonts w:ascii="Arial" w:cs="Arial" w:eastAsia="Arial" w:hAnsi="Arial"/>
          <w:sz w:val="22"/>
          <w:szCs w:val="22"/>
        </w:rPr>
        <w:t xml:space="preserve">Herr Schuchardt trennt den Befall am Heizraumbalken vom Leitungswasserschaden ab und behauptet eine „deutliche Trennung durch nicht betroffene Bauteile“. Diese Bewertung ist nicht haltbar:</w:t>
      </w:r>
    </w:p>
    <w:p>
      <w:pPr>
        <w:pStyle w:val="Heading2"/>
        <w:spacing w:after="100" w:before="200"/>
      </w:pPr>
      <w:r>
        <w:rPr>
          <w:rFonts w:ascii="Arial" w:cs="Arial" w:eastAsia="Arial" w:hAnsi="Arial"/>
          <w:b/>
          <w:bCs/>
          <w:color w:val="1a1a1a"/>
          <w:sz w:val="24"/>
          <w:szCs w:val="24"/>
        </w:rPr>
        <w:t xml:space="preserve">4.1 Fehlende zeitliche Einordnung und fehlende Alternativursache</w:t>
      </w:r>
    </w:p>
    <w:p>
      <w:pPr>
        <w:spacing w:after="120"/>
        <w:jc w:val="both"/>
      </w:pPr>
      <w:r>
        <w:rPr>
          <w:rFonts w:ascii="Arial" w:cs="Arial" w:eastAsia="Arial" w:hAnsi="Arial"/>
          <w:sz w:val="22"/>
          <w:szCs w:val="22"/>
        </w:rPr>
        <w:t xml:space="preserve">Herr Schuchardt beschreibt in seiner Stellungnahme selbst ein Schadensbild, das sich über die </w:t>
      </w:r>
      <w:r>
        <w:rPr>
          <w:rFonts w:ascii="Arial" w:cs="Arial" w:eastAsia="Arial" w:hAnsi="Arial"/>
          <w:b/>
          <w:bCs/>
          <w:sz w:val="22"/>
          <w:szCs w:val="22"/>
        </w:rPr>
        <w:t xml:space="preserve">volle Höhe vom Fundament bis zur Decke</w:t>
      </w:r>
      <w:r>
        <w:rPr>
          <w:rFonts w:ascii="Arial" w:cs="Arial" w:eastAsia="Arial" w:hAnsi="Arial"/>
          <w:sz w:val="22"/>
          <w:szCs w:val="22"/>
        </w:rPr>
        <w:t xml:space="preserve"> erstreckt: Am Boden eine „zweite massive Durchfeuchtungsstelle um das Fundament der Heizungsanlage herum“ (S. 2), darüber den „an das Fundament der Heizung angrenzende[n] Holzbalken“ mit „weißen Schimmelbefall mit mycelartigen Ausbildungen“, eine „deutlich mit Feuchtigkeitsrändern gezeichnete Wandverkleidung“, und oben „massive Feuchtigkeitsränder und sichtbare Ausblühungen an dem Übergang des Schornsteins der Heizungsanlage zu der Deckenverkleidung“ sowie „deutliche Laufspuren“ am verputzten Schornstein selbst.</w:t>
      </w:r>
    </w:p>
    <w:p>
      <w:pPr>
        <w:spacing w:after="120"/>
        <w:jc w:val="both"/>
      </w:pPr>
      <w:r>
        <w:rPr>
          <w:rFonts w:ascii="Arial" w:cs="Arial" w:eastAsia="Arial" w:hAnsi="Arial"/>
          <w:sz w:val="22"/>
          <w:szCs w:val="22"/>
        </w:rPr>
        <w:t xml:space="preserve">Trotz dieser erheblichen Befunde nimmt Herr Schuchardt </w:t>
      </w:r>
      <w:r>
        <w:rPr>
          <w:rFonts w:ascii="Arial" w:cs="Arial" w:eastAsia="Arial" w:hAnsi="Arial"/>
          <w:b/>
          <w:bCs/>
          <w:sz w:val="22"/>
          <w:szCs w:val="22"/>
        </w:rPr>
        <w:t xml:space="preserve">keine zeitliche Einordnung</w:t>
      </w:r>
      <w:r>
        <w:rPr>
          <w:rFonts w:ascii="Arial" w:cs="Arial" w:eastAsia="Arial" w:hAnsi="Arial"/>
          <w:sz w:val="22"/>
          <w:szCs w:val="22"/>
        </w:rPr>
        <w:t xml:space="preserve"> vor: Er stellt weder fest, seit wann diese Durchfeuchtung besteht, noch benennt er eine </w:t>
      </w:r>
      <w:r>
        <w:rPr>
          <w:rFonts w:ascii="Arial" w:cs="Arial" w:eastAsia="Arial" w:hAnsi="Arial"/>
          <w:b/>
          <w:bCs/>
          <w:sz w:val="22"/>
          <w:szCs w:val="22"/>
        </w:rPr>
        <w:t xml:space="preserve">konkrete alternative Ursache</w:t>
      </w:r>
      <w:r>
        <w:rPr>
          <w:rFonts w:ascii="Arial" w:cs="Arial" w:eastAsia="Arial" w:hAnsi="Arial"/>
          <w:sz w:val="22"/>
          <w:szCs w:val="22"/>
        </w:rPr>
        <w:t xml:space="preserve">. Stattdessen schließt er den Zusammenhang mit dem Leitungswasserschaden pauschal aus und belässt es dabei. Eine fachlich belastbare Bewertung hätte zwingend die Frage beantworten müssen, </w:t>
      </w:r>
      <w:r>
        <w:rPr>
          <w:rFonts w:ascii="Arial" w:cs="Arial" w:eastAsia="Arial" w:hAnsi="Arial"/>
          <w:b/>
          <w:bCs/>
          <w:sz w:val="22"/>
          <w:szCs w:val="22"/>
        </w:rPr>
        <w:t xml:space="preserve">welche Feuchtequelle</w:t>
      </w:r>
      <w:r>
        <w:rPr>
          <w:rFonts w:ascii="Arial" w:cs="Arial" w:eastAsia="Arial" w:hAnsi="Arial"/>
          <w:sz w:val="22"/>
          <w:szCs w:val="22"/>
        </w:rPr>
        <w:t xml:space="preserve"> die dokumentierten massiven Durchfeuchtungserscheinungen und den Pilzbefall am Holzbalken verursacht hat – und seit wann.</w:t>
      </w:r>
    </w:p>
    <w:p>
      <w:pPr>
        <w:spacing w:after="120"/>
        <w:jc w:val="both"/>
      </w:pPr>
      <w:r>
        <w:rPr>
          <w:rFonts w:ascii="Arial" w:cs="Arial" w:eastAsia="Arial" w:hAnsi="Arial"/>
          <w:sz w:val="22"/>
          <w:szCs w:val="22"/>
        </w:rPr>
        <w:t xml:space="preserve">Dabei lässt bereits Schuchardts eigene Befundbeschreibung nur einen Schluss zu: Die von ihm dokumentierten „sichtbaren Ausblühungen“ am verputzten Schornstein sind </w:t>
      </w:r>
      <w:r>
        <w:rPr>
          <w:rFonts w:ascii="Arial" w:cs="Arial" w:eastAsia="Arial" w:hAnsi="Arial"/>
          <w:b/>
          <w:bCs/>
          <w:sz w:val="22"/>
          <w:szCs w:val="22"/>
        </w:rPr>
        <w:t xml:space="preserve">Salzausblühungen</w:t>
      </w:r>
      <w:r>
        <w:rPr>
          <w:rFonts w:ascii="Arial" w:cs="Arial" w:eastAsia="Arial" w:hAnsi="Arial"/>
          <w:sz w:val="22"/>
          <w:szCs w:val="22"/>
        </w:rPr>
        <w:t xml:space="preserve"> – mineralische Ablagerungen, die entstehen, wenn Feuchtigkeit über längere Zeit durch Mauerwerk transportiert wird und beim Verdunsten lösliche Salze an der Oberfläche auskristallisieren. Salzausblühungen sind ein klassischer Indikator für </w:t>
      </w:r>
      <w:r>
        <w:rPr>
          <w:rFonts w:ascii="Arial" w:cs="Arial" w:eastAsia="Arial" w:hAnsi="Arial"/>
          <w:b/>
          <w:bCs/>
          <w:sz w:val="22"/>
          <w:szCs w:val="22"/>
        </w:rPr>
        <w:t xml:space="preserve">anhaltenden kapillaren Feuchtetransport von unten</w:t>
      </w:r>
      <w:r>
        <w:rPr>
          <w:rFonts w:ascii="Arial" w:cs="Arial" w:eastAsia="Arial" w:hAnsi="Arial"/>
          <w:sz w:val="22"/>
          <w:szCs w:val="22"/>
        </w:rPr>
        <w:t xml:space="preserve">. Sie entstehen nicht durch gelegentlichen, kurzzeitigen Regeneintrag von oben. Das Schadensbild – von der Durchfeuchtung am Fundament/Boden über die Wandverkleidung bis zu den Salzausblühungen oben – zeigt den typischen Verlauf einer </w:t>
      </w:r>
      <w:r>
        <w:rPr>
          <w:rFonts w:ascii="Arial" w:cs="Arial" w:eastAsia="Arial" w:hAnsi="Arial"/>
          <w:b/>
          <w:bCs/>
          <w:sz w:val="22"/>
          <w:szCs w:val="22"/>
        </w:rPr>
        <w:t xml:space="preserve">aufsteigenden Feuchtigkeit</w:t>
      </w:r>
      <w:r>
        <w:rPr>
          <w:rFonts w:ascii="Arial" w:cs="Arial" w:eastAsia="Arial" w:hAnsi="Arial"/>
          <w:sz w:val="22"/>
          <w:szCs w:val="22"/>
        </w:rPr>
        <w:t xml:space="preserve">, nicht einer von oben eindringenden.</w:t>
      </w:r>
    </w:p>
    <w:p>
      <w:pPr>
        <w:spacing w:after="120"/>
        <w:jc w:val="both"/>
      </w:pPr>
      <w:r>
        <w:rPr>
          <w:rFonts w:ascii="Arial" w:cs="Arial" w:eastAsia="Arial" w:hAnsi="Arial"/>
          <w:sz w:val="22"/>
          <w:szCs w:val="22"/>
        </w:rPr>
        <w:t xml:space="preserve">Auch das optische Erscheinungsbild stützt diese Einordnung: Die auf Foto 9 dokumentierten hellen, mineralischen Ausränderungen an der Decke und der Schornsteinwange sind chemisch konsistent mit </w:t>
      </w:r>
      <w:r>
        <w:rPr>
          <w:rFonts w:ascii="Arial" w:cs="Arial" w:eastAsia="Arial" w:hAnsi="Arial"/>
          <w:b/>
          <w:bCs/>
          <w:sz w:val="22"/>
          <w:szCs w:val="22"/>
        </w:rPr>
        <w:t xml:space="preserve">Leitungswasser-Rückständen</w:t>
      </w:r>
      <w:r>
        <w:rPr>
          <w:rFonts w:ascii="Arial" w:cs="Arial" w:eastAsia="Arial" w:hAnsi="Arial"/>
          <w:sz w:val="22"/>
          <w:szCs w:val="22"/>
        </w:rPr>
        <w:t xml:space="preserve"> (Kalk- und Sulfat-Ausblühungen aus kapillarem Transport). Eine Versottung durch Abgaskondensate würde dagegen </w:t>
      </w:r>
      <w:r>
        <w:rPr>
          <w:rFonts w:ascii="Arial" w:cs="Arial" w:eastAsia="Arial" w:hAnsi="Arial"/>
          <w:b/>
          <w:bCs/>
          <w:sz w:val="22"/>
          <w:szCs w:val="22"/>
        </w:rPr>
        <w:t xml:space="preserve">dunkelbraune bis schwarze, ölige, teerartige Verfärbungen</w:t>
      </w:r>
      <w:r>
        <w:rPr>
          <w:rFonts w:ascii="Arial" w:cs="Arial" w:eastAsia="Arial" w:hAnsi="Arial"/>
          <w:sz w:val="22"/>
          <w:szCs w:val="22"/>
        </w:rPr>
        <w:t xml:space="preserve"> hinterlassen – dieses Erscheinungsbild fehlt auf Foto 9 vollständig. Die hellen, trockenen Mineralablagerungen sind ein eindeutiger Indikator für Leitungswasser, nicht für Verbrennungsrückstände.</w:t>
      </w:r>
    </w:p>
    <w:p>
      <w:pPr>
        <w:spacing w:after="120"/>
        <w:jc w:val="both"/>
      </w:pPr>
      <w:r>
        <w:rPr>
          <w:rFonts w:ascii="Arial" w:cs="Arial" w:eastAsia="Arial" w:hAnsi="Arial"/>
          <w:sz w:val="22"/>
          <w:szCs w:val="22"/>
        </w:rPr>
        <w:t xml:space="preserve">Hinzu kommt ein weiterer physikalischer Widerspruch: Versottung entsteht durch Kondensation von Abgasen an der Schornsteininnenwand. Das Kondensat läuft </w:t>
      </w:r>
      <w:r>
        <w:rPr>
          <w:rFonts w:ascii="Arial" w:cs="Arial" w:eastAsia="Arial" w:hAnsi="Arial"/>
          <w:b/>
          <w:bCs/>
          <w:sz w:val="22"/>
          <w:szCs w:val="22"/>
        </w:rPr>
        <w:t xml:space="preserve">schwerkraftbedingt nach unten</w:t>
      </w:r>
      <w:r>
        <w:rPr>
          <w:rFonts w:ascii="Arial" w:cs="Arial" w:eastAsia="Arial" w:hAnsi="Arial"/>
          <w:sz w:val="22"/>
          <w:szCs w:val="22"/>
        </w:rPr>
        <w:t xml:space="preserve"> und sammelt sich am Fuß des Schornsteins. Versottungsschäden – dunkle, teerartige Durchschläge – treten daher bevorzugt im </w:t>
      </w:r>
      <w:r>
        <w:rPr>
          <w:rFonts w:ascii="Arial" w:cs="Arial" w:eastAsia="Arial" w:hAnsi="Arial"/>
          <w:b/>
          <w:bCs/>
          <w:sz w:val="22"/>
          <w:szCs w:val="22"/>
        </w:rPr>
        <w:t xml:space="preserve">unteren Bereich</w:t>
      </w:r>
      <w:r>
        <w:rPr>
          <w:rFonts w:ascii="Arial" w:cs="Arial" w:eastAsia="Arial" w:hAnsi="Arial"/>
          <w:sz w:val="22"/>
          <w:szCs w:val="22"/>
        </w:rPr>
        <w:t xml:space="preserve"> des Schornsteins auf. Hier zeigt sich das Schadensbild jedoch genau umgekehrt: Die von Herrn Schuchardt dokumentierten Ausblühungen und Laufspuren konzentrieren sich am </w:t>
      </w:r>
      <w:r>
        <w:rPr>
          <w:rFonts w:ascii="Arial" w:cs="Arial" w:eastAsia="Arial" w:hAnsi="Arial"/>
          <w:b/>
          <w:bCs/>
          <w:sz w:val="22"/>
          <w:szCs w:val="22"/>
        </w:rPr>
        <w:t xml:space="preserve">Übergang zur Deckenverkleidung</w:t>
      </w:r>
      <w:r>
        <w:rPr>
          <w:rFonts w:ascii="Arial" w:cs="Arial" w:eastAsia="Arial" w:hAnsi="Arial"/>
          <w:sz w:val="22"/>
          <w:szCs w:val="22"/>
        </w:rPr>
        <w:t xml:space="preserve"> – also dort, wo kapillar aufsteigende Feuchtigkeit verdunstet und Salze auskristallisiert. Dieses Schadensverteilungsmuster ist mit Versottung physikalisch nicht vereinbar, wohl aber mit aufsteigender Feuchtigkeit aus dem gesättigten Sandbett.</w:t>
      </w:r>
    </w:p>
    <w:p>
      <w:pPr>
        <w:pStyle w:val="Heading2"/>
        <w:spacing w:after="100" w:before="200"/>
      </w:pPr>
      <w:r>
        <w:rPr>
          <w:rFonts w:ascii="Arial" w:cs="Arial" w:eastAsia="Arial" w:hAnsi="Arial"/>
          <w:b/>
          <w:bCs/>
          <w:color w:val="1a1a1a"/>
          <w:sz w:val="24"/>
          <w:szCs w:val="24"/>
        </w:rPr>
        <w:t xml:space="preserve">4.2 Widerspruch bei der Laboranalyse</w:t>
      </w:r>
    </w:p>
    <w:p>
      <w:pPr>
        <w:spacing w:after="120"/>
        <w:jc w:val="both"/>
      </w:pPr>
      <w:r>
        <w:rPr>
          <w:rFonts w:ascii="Arial" w:cs="Arial" w:eastAsia="Arial" w:hAnsi="Arial"/>
          <w:sz w:val="22"/>
          <w:szCs w:val="22"/>
        </w:rPr>
        <w:t xml:space="preserve">Herr Schuchardt empfiehlt für den Befall am Schornsteinbalken eine Laboruntersuchung, da die „größere Fläche der mycelartigen Ausbildung und der erheblich stärkeren Intensität“ dies „sicherlich zielführend“ mache (Stellungnahme S. 4). Für den Pilzbefall im unmittelbaren Bereich der Schadenstelle empfiehlt er dagegen lediglich eine Oberflächenbehandlung – obwohl er dort ebenfalls „kleinflächigen Pilzbefall“ feststellt. </w:t>
      </w:r>
      <w:r>
        <w:rPr>
          <w:rFonts w:ascii="Arial" w:cs="Arial" w:eastAsia="Arial" w:hAnsi="Arial"/>
          <w:b/>
          <w:bCs/>
          <w:sz w:val="22"/>
          <w:szCs w:val="22"/>
        </w:rPr>
        <w:t xml:space="preserve">Dieser Widerspruch ist fachlich nicht nachvollziehbar</w:t>
      </w:r>
      <w:r>
        <w:rPr>
          <w:rFonts w:ascii="Arial" w:cs="Arial" w:eastAsia="Arial" w:hAnsi="Arial"/>
          <w:sz w:val="22"/>
          <w:szCs w:val="22"/>
        </w:rPr>
        <w:t xml:space="preserve">: Wenn bei dem nach eigener Einschätzung stärkeren Befall am Schornstein eine Laboranalyse erforderlich ist, dann erst recht bei dem Befall an der eigentlichen Schadenstelle, wo die Feuchtequelle unmittelbar belegt ist. Die DIN 68800-4 differenziert nicht nach der Intensität des sichtbaren Befalls – sie verlangt eine Artbestimmung bei </w:t>
      </w:r>
      <w:r>
        <w:rPr>
          <w:rFonts w:ascii="Arial" w:cs="Arial" w:eastAsia="Arial" w:hAnsi="Arial"/>
          <w:b/>
          <w:bCs/>
          <w:sz w:val="22"/>
          <w:szCs w:val="22"/>
        </w:rPr>
        <w:t xml:space="preserve">jedem</w:t>
      </w:r>
      <w:r>
        <w:rPr>
          <w:rFonts w:ascii="Arial" w:cs="Arial" w:eastAsia="Arial" w:hAnsi="Arial"/>
          <w:sz w:val="22"/>
          <w:szCs w:val="22"/>
        </w:rPr>
        <w:t xml:space="preserve"> Verdacht auf holzzerstörende Pilze.</w:t>
      </w:r>
    </w:p>
    <w:p>
      <w:pPr>
        <w:pStyle w:val="Heading2"/>
        <w:spacing w:after="100" w:before="200"/>
      </w:pPr>
      <w:r>
        <w:rPr>
          <w:rFonts w:ascii="Arial" w:cs="Arial" w:eastAsia="Arial" w:hAnsi="Arial"/>
          <w:b/>
          <w:bCs/>
          <w:color w:val="1a1a1a"/>
          <w:sz w:val="24"/>
          <w:szCs w:val="24"/>
        </w:rPr>
        <w:t xml:space="preserve">4.3 Kein dauerhafter Feuchteeintrag von oben möglich</w:t>
      </w:r>
    </w:p>
    <w:p>
      <w:pPr>
        <w:spacing w:after="120"/>
        <w:jc w:val="both"/>
      </w:pPr>
      <w:r>
        <w:rPr>
          <w:rFonts w:ascii="Arial" w:cs="Arial" w:eastAsia="Arial" w:hAnsi="Arial"/>
          <w:sz w:val="22"/>
          <w:szCs w:val="22"/>
        </w:rPr>
        <w:t xml:space="preserve">Der einzige denkbare Feuchtigkeitseintrag von oben wäre über den Schornsteinkopf bei Regen. Dem stehen drei Fakten entgegen:</w:t>
      </w:r>
    </w:p>
    <w:p>
      <w:pPr>
        <w:spacing w:after="120"/>
        <w:jc w:val="both"/>
      </w:pPr>
      <w:r>
        <w:rPr>
          <w:rFonts w:ascii="Arial" w:cs="Arial" w:eastAsia="Arial" w:hAnsi="Arial"/>
          <w:b/>
          <w:bCs/>
          <w:sz w:val="22"/>
          <w:szCs w:val="22"/>
        </w:rPr>
        <w:t xml:space="preserve">Erstens: </w:t>
      </w:r>
      <w:r>
        <w:rPr>
          <w:rFonts w:ascii="Arial" w:cs="Arial" w:eastAsia="Arial" w:hAnsi="Arial"/>
          <w:sz w:val="22"/>
          <w:szCs w:val="22"/>
        </w:rPr>
        <w:t xml:space="preserve">Jeglicher Wassereintritt von oben findet </w:t>
      </w:r>
      <w:r>
        <w:rPr>
          <w:rFonts w:ascii="Arial" w:cs="Arial" w:eastAsia="Arial" w:hAnsi="Arial"/>
          <w:b/>
          <w:bCs/>
          <w:sz w:val="22"/>
          <w:szCs w:val="22"/>
        </w:rPr>
        <w:t xml:space="preserve">ausschließlich bei Regenereignissen</w:t>
      </w:r>
      <w:r>
        <w:rPr>
          <w:rFonts w:ascii="Arial" w:cs="Arial" w:eastAsia="Arial" w:hAnsi="Arial"/>
          <w:sz w:val="22"/>
          <w:szCs w:val="22"/>
        </w:rPr>
        <w:t xml:space="preserve"> statt und ist damit stets </w:t>
      </w:r>
      <w:r>
        <w:rPr>
          <w:rFonts w:ascii="Arial" w:cs="Arial" w:eastAsia="Arial" w:hAnsi="Arial"/>
          <w:b/>
          <w:bCs/>
          <w:sz w:val="22"/>
          <w:szCs w:val="22"/>
        </w:rPr>
        <w:t xml:space="preserve">kurzzeitig und intermittierend</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Zweitens: </w:t>
      </w:r>
      <w:r>
        <w:rPr>
          <w:rFonts w:ascii="Arial" w:cs="Arial" w:eastAsia="Arial" w:hAnsi="Arial"/>
          <w:sz w:val="22"/>
          <w:szCs w:val="22"/>
        </w:rPr>
        <w:t xml:space="preserve">Der Heizkessel hält </w:t>
      </w:r>
      <w:r>
        <w:rPr>
          <w:rFonts w:ascii="Arial" w:cs="Arial" w:eastAsia="Arial" w:hAnsi="Arial"/>
          <w:b/>
          <w:bCs/>
          <w:sz w:val="22"/>
          <w:szCs w:val="22"/>
        </w:rPr>
        <w:t xml:space="preserve">dauerhaft Warmwasser</w:t>
      </w:r>
      <w:r>
        <w:rPr>
          <w:rFonts w:ascii="Arial" w:cs="Arial" w:eastAsia="Arial" w:hAnsi="Arial"/>
          <w:sz w:val="22"/>
          <w:szCs w:val="22"/>
        </w:rPr>
        <w:t xml:space="preserve"> vor und ist ganzjährig in Betrieb. Der Schornstein ist dadurch </w:t>
      </w:r>
      <w:r>
        <w:rPr>
          <w:rFonts w:ascii="Arial" w:cs="Arial" w:eastAsia="Arial" w:hAnsi="Arial"/>
          <w:b/>
          <w:bCs/>
          <w:sz w:val="22"/>
          <w:szCs w:val="22"/>
        </w:rPr>
        <w:t xml:space="preserve">ständig warm</w:t>
      </w:r>
      <w:r>
        <w:rPr>
          <w:rFonts w:ascii="Arial" w:cs="Arial" w:eastAsia="Arial" w:hAnsi="Arial"/>
          <w:sz w:val="22"/>
          <w:szCs w:val="22"/>
        </w:rPr>
        <w:t xml:space="preserve">. Der Heizungsraum ist der wärmste Raum im Gebäude. Jede kurzfristig bei Regen eintretende Feuchtigkeit wird durch die permanente Wärmeabgabe </w:t>
      </w:r>
      <w:r>
        <w:rPr>
          <w:rFonts w:ascii="Arial" w:cs="Arial" w:eastAsia="Arial" w:hAnsi="Arial"/>
          <w:b/>
          <w:bCs/>
          <w:sz w:val="22"/>
          <w:szCs w:val="22"/>
        </w:rPr>
        <w:t xml:space="preserve">sofort wieder abgetrocknet</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Drittens: </w:t>
      </w:r>
      <w:r>
        <w:rPr>
          <w:rFonts w:ascii="Arial" w:cs="Arial" w:eastAsia="Arial" w:hAnsi="Arial"/>
          <w:sz w:val="22"/>
          <w:szCs w:val="22"/>
        </w:rPr>
        <w:t xml:space="preserve">Selbst bei Starkregenereignissen kann unter diesen thermischen Bedingungen </w:t>
      </w:r>
      <w:r>
        <w:rPr>
          <w:rFonts w:ascii="Arial" w:cs="Arial" w:eastAsia="Arial" w:hAnsi="Arial"/>
          <w:b/>
          <w:bCs/>
          <w:sz w:val="22"/>
          <w:szCs w:val="22"/>
        </w:rPr>
        <w:t xml:space="preserve">keine dauerhafte Durchfeuchtung</w:t>
      </w:r>
      <w:r>
        <w:rPr>
          <w:rFonts w:ascii="Arial" w:cs="Arial" w:eastAsia="Arial" w:hAnsi="Arial"/>
          <w:sz w:val="22"/>
          <w:szCs w:val="22"/>
        </w:rPr>
        <w:t xml:space="preserve"> entstehen. Holzzerstörende Pilze benötigen eine </w:t>
      </w:r>
      <w:r>
        <w:rPr>
          <w:rFonts w:ascii="Arial" w:cs="Arial" w:eastAsia="Arial" w:hAnsi="Arial"/>
          <w:b/>
          <w:bCs/>
          <w:sz w:val="22"/>
          <w:szCs w:val="22"/>
        </w:rPr>
        <w:t xml:space="preserve">anhaltende Durchfeuchtung über Wochen und Monate</w:t>
      </w:r>
      <w:r>
        <w:rPr>
          <w:rFonts w:ascii="Arial" w:cs="Arial" w:eastAsia="Arial" w:hAnsi="Arial"/>
          <w:sz w:val="22"/>
          <w:szCs w:val="22"/>
        </w:rPr>
        <w:t xml:space="preserve"> (Holzfeuchte dauerhaft über 20 %). Die Trocknungswirkung des permanent beheizten Raumes macht dies von oben physikalisch unmöglich.</w:t>
      </w:r>
    </w:p>
    <w:p>
      <w:pPr>
        <w:spacing w:after="120"/>
        <w:jc w:val="both"/>
      </w:pPr>
      <w:r>
        <w:rPr>
          <w:rFonts w:ascii="Arial" w:cs="Arial" w:eastAsia="Arial" w:hAnsi="Arial"/>
          <w:sz w:val="22"/>
          <w:szCs w:val="22"/>
        </w:rPr>
        <w:t xml:space="preserve">Ein aktiv genutzter Schornstein im permanent beheizten Heizungsraum wirkt wie eine </w:t>
      </w:r>
      <w:r>
        <w:rPr>
          <w:rFonts w:ascii="Arial" w:cs="Arial" w:eastAsia="Arial" w:hAnsi="Arial"/>
          <w:b/>
          <w:bCs/>
          <w:sz w:val="22"/>
          <w:szCs w:val="22"/>
        </w:rPr>
        <w:t xml:space="preserve">thermische Barriere gegen Kondensatbildung</w:t>
      </w:r>
      <w:r>
        <w:rPr>
          <w:rFonts w:ascii="Arial" w:cs="Arial" w:eastAsia="Arial" w:hAnsi="Arial"/>
          <w:sz w:val="22"/>
          <w:szCs w:val="22"/>
        </w:rPr>
        <w:t xml:space="preserve">: Die ständige Wärmeabgabe trocknet jede kurzfristig eintretende Feuchtigkeit sofort ab. Damit ein Holzbalken in diesem Umfeld eine Holzfeuchte von </w:t>
      </w:r>
      <w:r>
        <w:rPr>
          <w:rFonts w:ascii="Arial" w:cs="Arial" w:eastAsia="Arial" w:hAnsi="Arial"/>
          <w:b/>
          <w:bCs/>
          <w:sz w:val="22"/>
          <w:szCs w:val="22"/>
        </w:rPr>
        <w:t xml:space="preserve">dauerhaft über 20 %</w:t>
      </w:r>
      <w:r>
        <w:rPr>
          <w:rFonts w:ascii="Arial" w:cs="Arial" w:eastAsia="Arial" w:hAnsi="Arial"/>
          <w:sz w:val="22"/>
          <w:szCs w:val="22"/>
        </w:rPr>
        <w:t xml:space="preserve"> erreicht – die Voraussetzung für Pilzwachstum –, bedarf es eines </w:t>
      </w:r>
      <w:r>
        <w:rPr>
          <w:rFonts w:ascii="Arial" w:cs="Arial" w:eastAsia="Arial" w:hAnsi="Arial"/>
          <w:b/>
          <w:bCs/>
          <w:sz w:val="22"/>
          <w:szCs w:val="22"/>
        </w:rPr>
        <w:t xml:space="preserve">massiven und kontinuierlichen kapillaren Feuchtestroms von unten</w:t>
      </w:r>
      <w:r>
        <w:rPr>
          <w:rFonts w:ascii="Arial" w:cs="Arial" w:eastAsia="Arial" w:hAnsi="Arial"/>
          <w:sz w:val="22"/>
          <w:szCs w:val="22"/>
        </w:rPr>
        <w:t xml:space="preserve">, der die Trocknungswirkung des beheizten Raumes übersteigt. Genau diesen liefert das über Monate gesättigte Sandbett über das Vollfundament.</w:t>
      </w:r>
    </w:p>
    <w:p>
      <w:pPr>
        <w:pStyle w:val="Heading2"/>
        <w:spacing w:after="100" w:before="200"/>
      </w:pPr>
      <w:r>
        <w:rPr>
          <w:rFonts w:ascii="Arial" w:cs="Arial" w:eastAsia="Arial" w:hAnsi="Arial"/>
          <w:b/>
          <w:bCs/>
          <w:color w:val="1a1a1a"/>
          <w:sz w:val="24"/>
          <w:szCs w:val="24"/>
        </w:rPr>
        <w:t xml:space="preserve">4.4 Der tatsächliche Feuchteweg: von unten über das Vollfundament</w:t>
      </w:r>
    </w:p>
    <w:p>
      <w:pPr>
        <w:spacing w:after="120"/>
        <w:jc w:val="both"/>
      </w:pPr>
      <w:r>
        <w:rPr>
          <w:rFonts w:ascii="Arial" w:cs="Arial" w:eastAsia="Arial" w:hAnsi="Arial"/>
          <w:sz w:val="22"/>
          <w:szCs w:val="22"/>
        </w:rPr>
        <w:t xml:space="preserve">Der Heizungsraum steht auf einem </w:t>
      </w:r>
      <w:r>
        <w:rPr>
          <w:rFonts w:ascii="Arial" w:cs="Arial" w:eastAsia="Arial" w:hAnsi="Arial"/>
          <w:b/>
          <w:bCs/>
          <w:sz w:val="22"/>
          <w:szCs w:val="22"/>
        </w:rPr>
        <w:t xml:space="preserve">Vollfundament (Punkt E)</w:t>
      </w:r>
      <w:r>
        <w:rPr>
          <w:rFonts w:ascii="Arial" w:cs="Arial" w:eastAsia="Arial" w:hAnsi="Arial"/>
          <w:sz w:val="22"/>
          <w:szCs w:val="22"/>
        </w:rPr>
        <w:t xml:space="preserve">, das bis in den wassergesättigten Sandboden reicht. Beton ist kapillaraktiv und transportiert Feuchtigkeit nach oben. Da der Rohrbruch über 12–18 Monate geschätzt 700 m³ Wasser in den eingeschlossenen Sandboden eingeleitet hat, stand das Vollfundament dauerhaft im gesättigten Boden.</w:t>
      </w:r>
    </w:p>
    <w:p>
      <w:pPr>
        <w:spacing w:after="120"/>
        <w:jc w:val="both"/>
      </w:pPr>
      <w:r>
        <w:rPr>
          <w:rFonts w:ascii="Arial" w:cs="Arial" w:eastAsia="Arial" w:hAnsi="Arial"/>
          <w:sz w:val="22"/>
          <w:szCs w:val="22"/>
        </w:rPr>
        <w:t xml:space="preserve">Die kapillare Steighöhe von Konstruktionsbeton liegt bei </w:t>
      </w:r>
      <w:r>
        <w:rPr>
          <w:rFonts w:ascii="Arial" w:cs="Arial" w:eastAsia="Arial" w:hAnsi="Arial"/>
          <w:b/>
          <w:bCs/>
          <w:sz w:val="22"/>
          <w:szCs w:val="22"/>
        </w:rPr>
        <w:t xml:space="preserve">2 bis 5 Metern</w:t>
      </w:r>
      <w:r>
        <w:rPr>
          <w:rFonts w:ascii="Arial" w:cs="Arial" w:eastAsia="Arial" w:hAnsi="Arial"/>
          <w:sz w:val="22"/>
          <w:szCs w:val="22"/>
        </w:rPr>
        <w:t xml:space="preserve">, bei Ziegelmauerwerk kann sie noch höher sein. Die Raumhöhe des Heizungsraumes von ca. 2,50 m liegt damit </w:t>
      </w:r>
      <w:r>
        <w:rPr>
          <w:rFonts w:ascii="Arial" w:cs="Arial" w:eastAsia="Arial" w:hAnsi="Arial"/>
          <w:b/>
          <w:bCs/>
          <w:sz w:val="22"/>
          <w:szCs w:val="22"/>
        </w:rPr>
        <w:t xml:space="preserve">vollständig im physikalisch machbaren Bereich</w:t>
      </w:r>
      <w:r>
        <w:rPr>
          <w:rFonts w:ascii="Arial" w:cs="Arial" w:eastAsia="Arial" w:hAnsi="Arial"/>
          <w:sz w:val="22"/>
          <w:szCs w:val="22"/>
        </w:rPr>
        <w:t xml:space="preserve"> der Kapillarwirkung. Das Wasser aus dem gesättigten Sandbett muss weniger als 3 Meter überwinden, um über das Fundament und den Schornstein bis zur Deckenverkleidung zu gelangen.</w:t>
      </w:r>
    </w:p>
    <w:p>
      <w:pPr>
        <w:spacing w:after="120"/>
        <w:jc w:val="both"/>
      </w:pPr>
      <w:r>
        <w:rPr>
          <w:rFonts w:ascii="Arial" w:cs="Arial" w:eastAsia="Arial" w:hAnsi="Arial"/>
          <w:sz w:val="22"/>
          <w:szCs w:val="22"/>
        </w:rPr>
        <w:t xml:space="preserve">Entscheidend ist, dass der permanent beheizte Heizungsraum diesen Transportmechanismus noch </w:t>
      </w:r>
      <w:r>
        <w:rPr>
          <w:rFonts w:ascii="Arial" w:cs="Arial" w:eastAsia="Arial" w:hAnsi="Arial"/>
          <w:b/>
          <w:bCs/>
          <w:sz w:val="22"/>
          <w:szCs w:val="22"/>
        </w:rPr>
        <w:t xml:space="preserve">massiv verstärkt</w:t>
      </w:r>
      <w:r>
        <w:rPr>
          <w:rFonts w:ascii="Arial" w:cs="Arial" w:eastAsia="Arial" w:hAnsi="Arial"/>
          <w:sz w:val="22"/>
          <w:szCs w:val="22"/>
        </w:rPr>
        <w:t xml:space="preserve">: An der warmen Wandoberfläche und am Schornstein verdunstet Feuchtigkeit ständig in die Raumluft. Dieser Flüssigkeitsverlust erzeugt einen Unterdruck in den Kapillaren, der wie eine Pumpe kontinuierlich Wasser aus dem nassen Fundament nachzieht. Solange das Sandbett gesättigt ist, arbeitet dieses System wie ein </w:t>
      </w:r>
      <w:r>
        <w:rPr>
          <w:rFonts w:ascii="Arial" w:cs="Arial" w:eastAsia="Arial" w:hAnsi="Arial"/>
          <w:b/>
          <w:bCs/>
          <w:sz w:val="22"/>
          <w:szCs w:val="22"/>
        </w:rPr>
        <w:t xml:space="preserve">Docht</w:t>
      </w:r>
      <w:r>
        <w:rPr>
          <w:rFonts w:ascii="Arial" w:cs="Arial" w:eastAsia="Arial" w:hAnsi="Arial"/>
          <w:sz w:val="22"/>
          <w:szCs w:val="22"/>
        </w:rPr>
        <w:t xml:space="preserve"> – die Feuchtigkeit wird bis zur Verdunstungsfront hochgezogen, und die Salze kristallisieren dort als Ausblühungen aus. Genau dieses Schadensbild beschreibt Herr Schuchardt selbst: Salzausblühungen und Laufspuren bis zum Übergang an der Deckenverkleidung.</w:t>
      </w:r>
    </w:p>
    <w:p>
      <w:pPr>
        <w:spacing w:after="120"/>
        <w:jc w:val="both"/>
      </w:pPr>
      <w:r>
        <w:rPr>
          <w:rFonts w:ascii="Arial" w:cs="Arial" w:eastAsia="Arial" w:hAnsi="Arial"/>
          <w:sz w:val="22"/>
          <w:szCs w:val="22"/>
        </w:rPr>
        <w:t xml:space="preserve">Dass sich das Mycel zudem in einem Abstand von ca. </w:t>
      </w:r>
      <w:r>
        <w:rPr>
          <w:rFonts w:ascii="Arial" w:cs="Arial" w:eastAsia="Arial" w:hAnsi="Arial"/>
          <w:b/>
          <w:bCs/>
          <w:sz w:val="22"/>
          <w:szCs w:val="22"/>
        </w:rPr>
        <w:t xml:space="preserve">50 cm zum Schornsteinmauerwerk</w:t>
      </w:r>
      <w:r>
        <w:rPr>
          <w:rFonts w:ascii="Arial" w:cs="Arial" w:eastAsia="Arial" w:hAnsi="Arial"/>
          <w:sz w:val="22"/>
          <w:szCs w:val="22"/>
        </w:rPr>
        <w:t xml:space="preserve"> am Balken befindet, belegt, dass die Feuchtigkeit </w:t>
      </w:r>
      <w:r>
        <w:rPr>
          <w:rFonts w:ascii="Arial" w:cs="Arial" w:eastAsia="Arial" w:hAnsi="Arial"/>
          <w:b/>
          <w:bCs/>
          <w:sz w:val="22"/>
          <w:szCs w:val="22"/>
        </w:rPr>
        <w:t xml:space="preserve">nicht aus dem Inneren des Schornsteins</w:t>
      </w:r>
      <w:r>
        <w:rPr>
          <w:rFonts w:ascii="Arial" w:cs="Arial" w:eastAsia="Arial" w:hAnsi="Arial"/>
          <w:sz w:val="22"/>
          <w:szCs w:val="22"/>
        </w:rPr>
        <w:t xml:space="preserve"> (Versottung) stammt, sondern </w:t>
      </w:r>
      <w:r>
        <w:rPr>
          <w:rFonts w:ascii="Arial" w:cs="Arial" w:eastAsia="Arial" w:hAnsi="Arial"/>
          <w:b/>
          <w:bCs/>
          <w:sz w:val="22"/>
          <w:szCs w:val="22"/>
        </w:rPr>
        <w:t xml:space="preserve">von unten über das Fundament</w:t>
      </w:r>
      <w:r>
        <w:rPr>
          <w:rFonts w:ascii="Arial" w:cs="Arial" w:eastAsia="Arial" w:hAnsi="Arial"/>
          <w:sz w:val="22"/>
          <w:szCs w:val="22"/>
        </w:rPr>
        <w:t xml:space="preserve"> aufsteigt und sich entlang des Balkens ausbreitet. Käme die Feuchtigkeit aus dem Schornstein selbst, wäre der Befall </w:t>
      </w:r>
      <w:r>
        <w:rPr>
          <w:rFonts w:ascii="Arial" w:cs="Arial" w:eastAsia="Arial" w:hAnsi="Arial"/>
          <w:b/>
          <w:bCs/>
          <w:sz w:val="22"/>
          <w:szCs w:val="22"/>
        </w:rPr>
        <w:t xml:space="preserve">unmittelbar am Mauerwerk</w:t>
      </w:r>
      <w:r>
        <w:rPr>
          <w:rFonts w:ascii="Arial" w:cs="Arial" w:eastAsia="Arial" w:hAnsi="Arial"/>
          <w:sz w:val="22"/>
          <w:szCs w:val="22"/>
        </w:rPr>
        <w:t xml:space="preserve"> am stärksten und würde nach außen abnehmen – nicht umgekehrt.</w:t>
      </w:r>
    </w:p>
    <w:p>
      <w:pPr>
        <w:spacing w:after="120"/>
        <w:jc w:val="both"/>
      </w:pPr>
      <w:r>
        <w:rPr>
          <w:rFonts w:ascii="Arial" w:cs="Arial" w:eastAsia="Arial" w:hAnsi="Arial"/>
          <w:sz w:val="22"/>
          <w:szCs w:val="22"/>
        </w:rPr>
        <w:t xml:space="preserve">Zur zeitlichen Einordnung: Sobald das gesättigte Sandbett das Vollfundament erreicht, beginnt der kapillare Aufstieg sofort. Die sichtbaren Schadensmerkmale – Salzausblühungen, Laufspuren, Feuchtigkeitsränder – entwickeln sich bei kontinuierlichem Wassernachschub und Verdunstungssog innerhalb von </w:t>
      </w:r>
      <w:r>
        <w:rPr>
          <w:rFonts w:ascii="Arial" w:cs="Arial" w:eastAsia="Arial" w:hAnsi="Arial"/>
          <w:b/>
          <w:bCs/>
          <w:sz w:val="22"/>
          <w:szCs w:val="22"/>
        </w:rPr>
        <w:t xml:space="preserve">wenigen Wochen bis Monaten</w:t>
      </w:r>
      <w:r>
        <w:rPr>
          <w:rFonts w:ascii="Arial" w:cs="Arial" w:eastAsia="Arial" w:hAnsi="Arial"/>
          <w:sz w:val="22"/>
          <w:szCs w:val="22"/>
        </w:rPr>
        <w:t xml:space="preserve">. Holzzerstörende Pilze benötigen eine anhaltende Holzfeuchte über 20 % über mindestens 4–6 Wochen, um sichtbares Mycel auszubilden. Bei einer Schadensdauer von 12–18 Monaten und 700 m³ Wasser im eingeschlossenen Sandbett stand dem Heizungsfundament über viele Monate eine </w:t>
      </w:r>
      <w:r>
        <w:rPr>
          <w:rFonts w:ascii="Arial" w:cs="Arial" w:eastAsia="Arial" w:hAnsi="Arial"/>
          <w:b/>
          <w:bCs/>
          <w:sz w:val="22"/>
          <w:szCs w:val="22"/>
        </w:rPr>
        <w:t xml:space="preserve">kontinuierliche Feuchtequelle</w:t>
      </w:r>
      <w:r>
        <w:rPr>
          <w:rFonts w:ascii="Arial" w:cs="Arial" w:eastAsia="Arial" w:hAnsi="Arial"/>
          <w:sz w:val="22"/>
          <w:szCs w:val="22"/>
        </w:rPr>
        <w:t xml:space="preserve"> zur Verfügung – mehr als ausreichend Zeit für die Entwicklung des von Herrn Schuchardt selbst dokumentierten Schadensbildes (Foto 8 und 9).</w:t>
      </w:r>
    </w:p>
    <w:p>
      <w:pPr>
        <w:spacing w:after="120"/>
        <w:jc w:val="both"/>
      </w:pPr>
      <w:r>
        <w:rPr>
          <w:rFonts w:ascii="Arial" w:cs="Arial" w:eastAsia="Arial" w:hAnsi="Arial"/>
          <w:sz w:val="22"/>
          <w:szCs w:val="22"/>
        </w:rPr>
        <w:t xml:space="preserve">Der kapillare Feuchtetransport über das Vollfundament – verstärkt durch den Verdunstungssog im permanent beheizten Raum – ist der einzige physikalisch plausible Mechanismus für die von Herrn Schuchardt dokumentierte Durchfeuchtung </w:t>
      </w:r>
      <w:r>
        <w:rPr>
          <w:rFonts w:ascii="Arial" w:cs="Arial" w:eastAsia="Arial" w:hAnsi="Arial"/>
          <w:b/>
          <w:bCs/>
          <w:sz w:val="22"/>
          <w:szCs w:val="22"/>
        </w:rPr>
        <w:t xml:space="preserve">vom Fundament bis zur Decke</w:t>
      </w:r>
      <w:r>
        <w:rPr>
          <w:rFonts w:ascii="Arial" w:cs="Arial" w:eastAsia="Arial" w:hAnsi="Arial"/>
          <w:sz w:val="22"/>
          <w:szCs w:val="22"/>
        </w:rPr>
        <w:t xml:space="preserve">. Gelegentlicher Regen von oben kann dieses Schadensbild nicht erklären.</w:t>
      </w:r>
    </w:p>
    <w:p>
      <w:pPr>
        <w:pStyle w:val="Heading2"/>
        <w:spacing w:after="100" w:before="200"/>
      </w:pPr>
      <w:r>
        <w:rPr>
          <w:rFonts w:ascii="Arial" w:cs="Arial" w:eastAsia="Arial" w:hAnsi="Arial"/>
          <w:b/>
          <w:bCs/>
          <w:color w:val="1a1a1a"/>
          <w:sz w:val="24"/>
          <w:szCs w:val="24"/>
        </w:rPr>
        <w:t xml:space="preserve">4.5 Widerlegung der Sand-These</w:t>
      </w:r>
    </w:p>
    <w:p>
      <w:pPr>
        <w:spacing w:after="120"/>
        <w:jc w:val="both"/>
      </w:pPr>
      <w:r>
        <w:rPr>
          <w:rFonts w:ascii="Arial" w:cs="Arial" w:eastAsia="Arial" w:hAnsi="Arial"/>
          <w:sz w:val="22"/>
          <w:szCs w:val="22"/>
        </w:rPr>
        <w:t xml:space="preserve">Herr Schuchardt behauptet, das Sandbett sei „unabhängig von dem Leitungswasserschaden aufgrund äußerer Einflüsse und dem direkten Kontakt zu dem umgebenden Erdreich als feuchtes Milieu zu bewerten“ (Stellungnahme S. 3). Diese Aussage ist aus zwei Gründen nicht haltbar:</w:t>
      </w:r>
    </w:p>
    <w:p>
      <w:pPr>
        <w:spacing w:after="120"/>
        <w:jc w:val="both"/>
      </w:pPr>
      <w:r>
        <w:rPr>
          <w:rFonts w:ascii="Arial" w:cs="Arial" w:eastAsia="Arial" w:hAnsi="Arial"/>
          <w:b/>
          <w:bCs/>
          <w:sz w:val="22"/>
          <w:szCs w:val="22"/>
        </w:rPr>
        <w:t xml:space="preserve">Erstens</w:t>
      </w:r>
      <w:r>
        <w:rPr>
          <w:rFonts w:ascii="Arial" w:cs="Arial" w:eastAsia="Arial" w:hAnsi="Arial"/>
          <w:sz w:val="22"/>
          <w:szCs w:val="22"/>
        </w:rPr>
        <w:t xml:space="preserve"> steht das Haus seit </w:t>
      </w:r>
      <w:r>
        <w:rPr>
          <w:rFonts w:ascii="Arial" w:cs="Arial" w:eastAsia="Arial" w:hAnsi="Arial"/>
          <w:b/>
          <w:bCs/>
          <w:sz w:val="22"/>
          <w:szCs w:val="22"/>
        </w:rPr>
        <w:t xml:space="preserve">50 Jahren</w:t>
      </w:r>
      <w:r>
        <w:rPr>
          <w:rFonts w:ascii="Arial" w:cs="Arial" w:eastAsia="Arial" w:hAnsi="Arial"/>
          <w:sz w:val="22"/>
          <w:szCs w:val="22"/>
        </w:rPr>
        <w:t xml:space="preserve"> auf diesem Sandbett. Wäre der Sand tatsächlich dauerhaft feucht gewesen, hätte die Holzkonstruktion – imprägnierte Bodenbalken, Einschubplatten, Mineralwolle – seit Jahrzehnten unter Feuchteeinwirkung gestanden. Pilzbefall, Zersetzung der Bauplatten und strukturelle Schäden wären die unvermeidliche Folge gewesen. Das Gegenteil ist der Fall: Bis zum Leitungswasserschaden war die Konstruktion </w:t>
      </w:r>
      <w:r>
        <w:rPr>
          <w:rFonts w:ascii="Arial" w:cs="Arial" w:eastAsia="Arial" w:hAnsi="Arial"/>
          <w:b/>
          <w:bCs/>
          <w:sz w:val="22"/>
          <w:szCs w:val="22"/>
        </w:rPr>
        <w:t xml:space="preserve">schadenfrei</w:t>
      </w:r>
      <w:r>
        <w:rPr>
          <w:rFonts w:ascii="Arial" w:cs="Arial" w:eastAsia="Arial" w:hAnsi="Arial"/>
          <w:sz w:val="22"/>
          <w:szCs w:val="22"/>
        </w:rPr>
        <w:t xml:space="preserve">. Der Sand war trocken.</w:t>
      </w:r>
    </w:p>
    <w:p>
      <w:pPr>
        <w:spacing w:after="120"/>
        <w:jc w:val="both"/>
      </w:pPr>
      <w:r>
        <w:rPr>
          <w:rFonts w:ascii="Arial" w:cs="Arial" w:eastAsia="Arial" w:hAnsi="Arial"/>
          <w:b/>
          <w:bCs/>
          <w:sz w:val="22"/>
          <w:szCs w:val="22"/>
        </w:rPr>
        <w:t xml:space="preserve">Zweitens</w:t>
      </w:r>
      <w:r>
        <w:rPr>
          <w:rFonts w:ascii="Arial" w:cs="Arial" w:eastAsia="Arial" w:hAnsi="Arial"/>
          <w:sz w:val="22"/>
          <w:szCs w:val="22"/>
        </w:rPr>
        <w:t xml:space="preserve"> belegen die vor Ort dokumentierten Befunde das Gegenteil der Schuchardt-These: Im Sandbett sind eindeutige </w:t>
      </w:r>
      <w:r>
        <w:rPr>
          <w:rFonts w:ascii="Arial" w:cs="Arial" w:eastAsia="Arial" w:hAnsi="Arial"/>
          <w:b/>
          <w:bCs/>
          <w:sz w:val="22"/>
          <w:szCs w:val="22"/>
        </w:rPr>
        <w:t xml:space="preserve">Pfützenspuren, Wasserstandslinien und Sandauswaschungsrinnen</w:t>
      </w:r>
      <w:r>
        <w:rPr>
          <w:rFonts w:ascii="Arial" w:cs="Arial" w:eastAsia="Arial" w:hAnsi="Arial"/>
          <w:sz w:val="22"/>
          <w:szCs w:val="22"/>
        </w:rPr>
        <w:t xml:space="preserve"> (Punkt K) nachgewiesen – Indikatoren, die ausschließlich durch </w:t>
      </w:r>
      <w:r>
        <w:rPr>
          <w:rFonts w:ascii="Arial" w:cs="Arial" w:eastAsia="Arial" w:hAnsi="Arial"/>
          <w:b/>
          <w:bCs/>
          <w:sz w:val="22"/>
          <w:szCs w:val="22"/>
        </w:rPr>
        <w:t xml:space="preserve">stehendes Wasser</w:t>
      </w:r>
      <w:r>
        <w:rPr>
          <w:rFonts w:ascii="Arial" w:cs="Arial" w:eastAsia="Arial" w:hAnsi="Arial"/>
          <w:sz w:val="22"/>
          <w:szCs w:val="22"/>
        </w:rPr>
        <w:t xml:space="preserve"> entstehen, nicht durch diffuse Erdfeuchte. Geschätzt 700 m³ Leitungswasser sind über 12–18 Monate in das von Streifenfundamenten eingeschlossene Sandbett eingedrungen und haben es massiv durchfeuchtet. Diese Wassermenge übersteigt jede denkbare natürliche Bodenfeuchte um ein Vielfaches.</w:t>
      </w:r>
    </w:p>
    <w:p>
      <w:pPr>
        <w:pStyle w:val="Heading2"/>
        <w:spacing w:after="100" w:before="200"/>
      </w:pPr>
      <w:r>
        <w:rPr>
          <w:rFonts w:ascii="Arial" w:cs="Arial" w:eastAsia="Arial" w:hAnsi="Arial"/>
          <w:b/>
          <w:bCs/>
          <w:color w:val="1a1a1a"/>
          <w:sz w:val="24"/>
          <w:szCs w:val="24"/>
        </w:rPr>
        <w:t xml:space="preserve">4.6 Keine „deutliche Trennung“</w:t>
      </w:r>
    </w:p>
    <w:p>
      <w:pPr>
        <w:spacing w:after="120"/>
        <w:jc w:val="both"/>
      </w:pPr>
      <w:r>
        <w:rPr>
          <w:rFonts w:ascii="Arial" w:cs="Arial" w:eastAsia="Arial" w:hAnsi="Arial"/>
          <w:sz w:val="22"/>
          <w:szCs w:val="22"/>
        </w:rPr>
        <w:t xml:space="preserve">Die von Herrn Schuchardt behauptete „deutliche Trennung durch nicht betroffene Bauteile“ basiert ausschließlich auf seinen Sondierungen am Kammerdeckel (2,2 cm Verlegeplatte). Diese Sondierungen erfassen weder die Mineralwolle in den geschlossenen Kammern noch den Sandboden. Auf Sandebene existieren keinerlei Trennungen – das Wasser breitet sich dort frei und ungehindert aus, auch bis zum Vollfundament des Heizungsraumes. Dass der Kammerdeckel an einzelnen, weit entfernten Punkten keine erhöhte Feuchte zeigt, sagt über den Zustand auf Sandebene und innerhalb der Kammern nichts aus.</w:t>
      </w:r>
    </w:p>
    <w:p>
      <w:pPr>
        <w:pStyle w:val="Heading1"/>
        <w:spacing w:after="120" w:before="280"/>
      </w:pPr>
      <w:r>
        <w:rPr>
          <w:rFonts w:ascii="Arial" w:cs="Arial" w:eastAsia="Arial" w:hAnsi="Arial"/>
          <w:b/>
          <w:bCs/>
          <w:color w:val="1a1a1a"/>
          <w:sz w:val="26"/>
          <w:szCs w:val="26"/>
        </w:rPr>
        <w:t xml:space="preserve">5. In der Stellungnahme nicht adressierte Schadenspunkte</w:t>
      </w:r>
    </w:p>
    <w:p>
      <w:pPr>
        <w:spacing w:after="120"/>
        <w:jc w:val="both"/>
      </w:pPr>
      <w:r>
        <w:rPr>
          <w:rFonts w:ascii="Arial" w:cs="Arial" w:eastAsia="Arial" w:hAnsi="Arial"/>
          <w:sz w:val="22"/>
          <w:szCs w:val="22"/>
        </w:rPr>
        <w:t xml:space="preserve">Folgende dokumentierte Punkte werden weder erwähnt noch widerlegt:</w:t>
      </w:r>
    </w:p>
    <w:p>
      <w:pPr>
        <w:spacing w:after="120"/>
        <w:jc w:val="both"/>
      </w:pPr>
      <w:r>
        <w:rPr>
          <w:rFonts w:ascii="Arial" w:cs="Arial" w:eastAsia="Arial" w:hAnsi="Arial"/>
          <w:b/>
          <w:bCs/>
          <w:sz w:val="22"/>
          <w:szCs w:val="22"/>
        </w:rPr>
        <w:t xml:space="preserve">Fundamentdurchgang (G): </w:t>
      </w:r>
      <w:r>
        <w:rPr>
          <w:rFonts w:ascii="Arial" w:cs="Arial" w:eastAsia="Arial" w:hAnsi="Arial"/>
          <w:sz w:val="22"/>
          <w:szCs w:val="22"/>
        </w:rPr>
        <w:t xml:space="preserve">Direkter Wasserweg vom nördlichen in den südlichen Gebäudeabschnitt – vollständig ignoriert.</w:t>
      </w:r>
    </w:p>
    <w:p>
      <w:pPr>
        <w:spacing w:after="120"/>
        <w:jc w:val="both"/>
      </w:pPr>
      <w:r>
        <w:rPr>
          <w:rFonts w:ascii="Arial" w:cs="Arial" w:eastAsia="Arial" w:hAnsi="Arial"/>
          <w:b/>
          <w:bCs/>
          <w:sz w:val="22"/>
          <w:szCs w:val="22"/>
        </w:rPr>
        <w:t xml:space="preserve">Kaminfundament (H) mit Fliesenverschiebung: </w:t>
      </w:r>
      <w:r>
        <w:rPr>
          <w:rFonts w:ascii="Arial" w:cs="Arial" w:eastAsia="Arial" w:hAnsi="Arial"/>
          <w:sz w:val="22"/>
          <w:szCs w:val="22"/>
        </w:rPr>
        <w:t xml:space="preserve">Indikator für Feuchtequellung in der Küche – nicht erwähnt.</w:t>
      </w:r>
    </w:p>
    <w:p>
      <w:pPr>
        <w:spacing w:after="120"/>
        <w:jc w:val="both"/>
      </w:pPr>
      <w:r>
        <w:rPr>
          <w:rFonts w:ascii="Arial" w:cs="Arial" w:eastAsia="Arial" w:hAnsi="Arial"/>
          <w:b/>
          <w:bCs/>
          <w:sz w:val="22"/>
          <w:szCs w:val="22"/>
        </w:rPr>
        <w:t xml:space="preserve">Strukturelles Versagen der Bodenplatte (6/6a): </w:t>
      </w:r>
      <w:r>
        <w:rPr>
          <w:rFonts w:ascii="Arial" w:cs="Arial" w:eastAsia="Arial" w:hAnsi="Arial"/>
          <w:sz w:val="22"/>
          <w:szCs w:val="22"/>
        </w:rPr>
        <w:t xml:space="preserve">14–18 mm Absenkung unter dem Bücherregal – nicht behandelt.</w:t>
      </w:r>
    </w:p>
    <w:p>
      <w:pPr>
        <w:spacing w:after="120"/>
        <w:jc w:val="both"/>
      </w:pPr>
      <w:r>
        <w:rPr>
          <w:rFonts w:ascii="Arial" w:cs="Arial" w:eastAsia="Arial" w:hAnsi="Arial"/>
          <w:b/>
          <w:bCs/>
          <w:sz w:val="22"/>
          <w:szCs w:val="22"/>
        </w:rPr>
        <w:t xml:space="preserve">Lochfraßkorrosion (9/9a): </w:t>
      </w:r>
      <w:r>
        <w:rPr>
          <w:rFonts w:ascii="Arial" w:cs="Arial" w:eastAsia="Arial" w:hAnsi="Arial"/>
          <w:sz w:val="22"/>
          <w:szCs w:val="22"/>
        </w:rPr>
        <w:t xml:space="preserve">Beleg für mindestens 12–18 Monate Schadensdauer – nicht erwähnt.</w:t>
      </w:r>
    </w:p>
    <w:p>
      <w:pPr>
        <w:spacing w:after="120"/>
        <w:jc w:val="both"/>
      </w:pPr>
      <w:r>
        <w:rPr>
          <w:rFonts w:ascii="Arial" w:cs="Arial" w:eastAsia="Arial" w:hAnsi="Arial"/>
          <w:b/>
          <w:bCs/>
          <w:sz w:val="22"/>
          <w:szCs w:val="22"/>
        </w:rPr>
        <w:t xml:space="preserve">Befunde unter dem Küchenboden (Punkt 10): </w:t>
      </w:r>
      <w:r>
        <w:rPr>
          <w:rFonts w:ascii="Arial" w:cs="Arial" w:eastAsia="Arial" w:hAnsi="Arial"/>
          <w:sz w:val="22"/>
          <w:szCs w:val="22"/>
        </w:rPr>
        <w:t xml:space="preserve">Kollabierte 1,3-cm-Bauplatten, Sandauswaschungsrinne, Pfützenspuren – nicht behandelt.</w:t>
      </w:r>
    </w:p>
    <w:p>
      <w:pPr>
        <w:spacing w:after="120"/>
        <w:jc w:val="both"/>
      </w:pPr>
      <w:r>
        <w:rPr>
          <w:rFonts w:ascii="Arial" w:cs="Arial" w:eastAsia="Arial" w:hAnsi="Arial"/>
          <w:b/>
          <w:bCs/>
          <w:sz w:val="22"/>
          <w:szCs w:val="22"/>
        </w:rPr>
        <w:t xml:space="preserve">Wasservolumen 700 m³: </w:t>
      </w:r>
      <w:r>
        <w:rPr>
          <w:rFonts w:ascii="Arial" w:cs="Arial" w:eastAsia="Arial" w:hAnsi="Arial"/>
          <w:sz w:val="22"/>
          <w:szCs w:val="22"/>
        </w:rPr>
        <w:t xml:space="preserve">Weder erwähnt noch widerlegt.</w:t>
      </w:r>
    </w:p>
    <w:p>
      <w:pPr>
        <w:spacing w:after="120"/>
        <w:jc w:val="both"/>
      </w:pPr>
      <w:r>
        <w:rPr>
          <w:rFonts w:ascii="Arial" w:cs="Arial" w:eastAsia="Arial" w:hAnsi="Arial"/>
          <w:b/>
          <w:bCs/>
          <w:sz w:val="22"/>
          <w:szCs w:val="22"/>
        </w:rPr>
        <w:t xml:space="preserve">Feuchtigkeitsausbreitung in der Bodenkonstruktion: </w:t>
      </w:r>
      <w:r>
        <w:rPr>
          <w:rFonts w:ascii="Arial" w:cs="Arial" w:eastAsia="Arial" w:hAnsi="Arial"/>
          <w:sz w:val="22"/>
          <w:szCs w:val="22"/>
        </w:rPr>
        <w:t xml:space="preserve">Ausbreitungsmechanismus über Schwerkraft, Dampfdiffusion und Leitungsdurchführungen in den geschlossenen Kammern sowie kapillarer Transport über Fundamente – nicht behandelt.</w:t>
      </w:r>
    </w:p>
    <w:p>
      <w:pPr>
        <w:pStyle w:val="Heading1"/>
        <w:spacing w:after="120" w:before="280"/>
      </w:pPr>
      <w:r>
        <w:rPr>
          <w:rFonts w:ascii="Arial" w:cs="Arial" w:eastAsia="Arial" w:hAnsi="Arial"/>
          <w:b/>
          <w:bCs/>
          <w:color w:val="1a1a1a"/>
          <w:sz w:val="26"/>
          <w:szCs w:val="26"/>
        </w:rPr>
        <w:t xml:space="preserve">6. Forderungen</w:t>
      </w:r>
    </w:p>
    <w:p>
      <w:pPr>
        <w:spacing w:after="120"/>
        <w:jc w:val="both"/>
      </w:pPr>
      <w:r>
        <w:rPr>
          <w:rFonts w:ascii="Arial" w:cs="Arial" w:eastAsia="Arial" w:hAnsi="Arial"/>
          <w:sz w:val="22"/>
          <w:szCs w:val="22"/>
        </w:rPr>
        <w:t xml:space="preserve">Auf Grundlage der vorstehenden Ausführungen fordere ich:</w:t>
      </w:r>
    </w:p>
    <w:p>
      <w:pPr>
        <w:spacing w:after="120"/>
        <w:jc w:val="both"/>
      </w:pPr>
      <w:r>
        <w:rPr>
          <w:rFonts w:ascii="Arial" w:cs="Arial" w:eastAsia="Arial" w:hAnsi="Arial"/>
          <w:b/>
          <w:bCs/>
          <w:sz w:val="22"/>
          <w:szCs w:val="22"/>
        </w:rPr>
        <w:t xml:space="preserve">6.1 Laboranalyse des Pilzbefalls</w:t>
      </w:r>
      <w:r>
        <w:rPr>
          <w:rFonts w:ascii="Arial" w:cs="Arial" w:eastAsia="Arial" w:hAnsi="Arial"/>
          <w:sz w:val="22"/>
          <w:szCs w:val="22"/>
        </w:rPr>
        <w:t xml:space="preserve"> gemäß DIN 68800-4: Artbestimmung durch ein akkreditiertes Labor, bevor über Maßnahmen entschieden wird.</w:t>
      </w:r>
    </w:p>
    <w:p>
      <w:pPr>
        <w:spacing w:after="120"/>
        <w:jc w:val="both"/>
      </w:pPr>
      <w:r>
        <w:rPr>
          <w:rFonts w:ascii="Arial" w:cs="Arial" w:eastAsia="Arial" w:hAnsi="Arial"/>
          <w:b/>
          <w:bCs/>
          <w:sz w:val="22"/>
          <w:szCs w:val="22"/>
        </w:rPr>
        <w:t xml:space="preserve">6.2 Quellennahes Nachverfolgen der Schadensgrenze: </w:t>
      </w:r>
      <w:r>
        <w:rPr>
          <w:rFonts w:ascii="Arial" w:cs="Arial" w:eastAsia="Arial" w:hAnsi="Arial"/>
          <w:sz w:val="22"/>
          <w:szCs w:val="22"/>
        </w:rPr>
        <w:t xml:space="preserve">Ausgehend vom letzten bestätigten Feuchtigkeitsnachweis sind Sondierungsöffnungen in einem Raster von </w:t>
      </w:r>
      <w:r>
        <w:rPr>
          <w:rFonts w:ascii="Arial" w:cs="Arial" w:eastAsia="Arial" w:hAnsi="Arial"/>
          <w:b/>
          <w:bCs/>
          <w:sz w:val="22"/>
          <w:szCs w:val="22"/>
        </w:rPr>
        <w:t xml:space="preserve">maximal 1,0–1,5 m</w:t>
      </w:r>
      <w:r>
        <w:rPr>
          <w:rFonts w:ascii="Arial" w:cs="Arial" w:eastAsia="Arial" w:hAnsi="Arial"/>
          <w:sz w:val="22"/>
          <w:szCs w:val="22"/>
        </w:rPr>
        <w:t xml:space="preserve"> anzulegen – nicht in Sprüngen von 3–6 m. Die Sondierungsöffnung im Essbereich (Foto 16, 13 % Holzfeuchte) zeigt, dass die schadensbedingte Durchfeuchtung mindestens bis dorthin reicht. Von diesem Punkt aus muss die Untersuchung nach außen fortgesetzt werden. Dies betrifft insbesondere auch den Bereich südlich des Streifenfundaments über den Fundamentdurchgang (G).</w:t>
      </w:r>
    </w:p>
    <w:p>
      <w:pPr>
        <w:spacing w:after="120"/>
        <w:jc w:val="both"/>
      </w:pPr>
      <w:r>
        <w:rPr>
          <w:rFonts w:ascii="Arial" w:cs="Arial" w:eastAsia="Arial" w:hAnsi="Arial"/>
          <w:b/>
          <w:bCs/>
          <w:sz w:val="22"/>
          <w:szCs w:val="22"/>
        </w:rPr>
        <w:t xml:space="preserve">6.3 Tiefenmessungen mit dokumentierten Messwerten: </w:t>
      </w:r>
      <w:r>
        <w:rPr>
          <w:rFonts w:ascii="Arial" w:cs="Arial" w:eastAsia="Arial" w:hAnsi="Arial"/>
          <w:sz w:val="22"/>
          <w:szCs w:val="22"/>
        </w:rPr>
        <w:t xml:space="preserve">Die Feuchtemessung muss die geschlossenen Kammern öffnen und alle Konstruktionsschichten erfassen – nicht nur den Kammerdeckel und die Einschubplatte, sondern insbesondere die 12 cm Mineralwolle, die Balken und den Sandboden. Dabei ist der seit Abstellen des Wassers (26.02.2026) verstrichene Trocknungszeitraum zu dokumentieren und bei der Bewertung zu berücksichtigen, da gemessene Werte nach Monaten der Trocknung nur Mindestwerte darstellen. Die Untersuchung ist so weit fortzusetzen, bis die Holzfeuchte nachweislich wieder im Bereich der materialüblichen Ausgleichsfeuchte liegt (vgl. DIN 68800-1, GK 0).</w:t>
      </w:r>
    </w:p>
    <w:p>
      <w:pPr>
        <w:spacing w:after="120"/>
        <w:jc w:val="both"/>
      </w:pPr>
      <w:r>
        <w:rPr>
          <w:rFonts w:ascii="Arial" w:cs="Arial" w:eastAsia="Arial" w:hAnsi="Arial"/>
          <w:b/>
          <w:bCs/>
          <w:sz w:val="22"/>
          <w:szCs w:val="22"/>
        </w:rPr>
        <w:t xml:space="preserve">6.4 Kategorisierung nach UBA-Schimmelleitfaden</w:t>
      </w:r>
      <w:r>
        <w:rPr>
          <w:rFonts w:ascii="Arial" w:cs="Arial" w:eastAsia="Arial" w:hAnsi="Arial"/>
          <w:sz w:val="22"/>
          <w:szCs w:val="22"/>
        </w:rPr>
        <w:t xml:space="preserve"> mit Begründung, auf welcher Grundlage eine geringere Kategorie als 3 angenommen werden könnte.</w:t>
      </w:r>
    </w:p>
    <w:p>
      <w:pPr>
        <w:spacing w:after="120"/>
        <w:jc w:val="both"/>
      </w:pPr>
      <w:r>
        <w:rPr>
          <w:rFonts w:ascii="Arial" w:cs="Arial" w:eastAsia="Arial" w:hAnsi="Arial"/>
          <w:b/>
          <w:bCs/>
          <w:sz w:val="22"/>
          <w:szCs w:val="22"/>
        </w:rPr>
        <w:t xml:space="preserve">6.5 Berücksichtigung des Schadenszeitraums: </w:t>
      </w:r>
      <w:r>
        <w:rPr>
          <w:rFonts w:ascii="Arial" w:cs="Arial" w:eastAsia="Arial" w:hAnsi="Arial"/>
          <w:sz w:val="22"/>
          <w:szCs w:val="22"/>
        </w:rPr>
        <w:t xml:space="preserve">Der durch Lochfraßkorrosion belegte Zeitraum von mindestens 12–18 Monaten ist in die Ausbreitungsbewertung einzubeziehen.</w:t>
      </w:r>
    </w:p>
    <w:p>
      <w:pPr>
        <w:spacing w:after="120"/>
        <w:jc w:val="both"/>
      </w:pPr>
      <w:r>
        <w:rPr>
          <w:rFonts w:ascii="Arial" w:cs="Arial" w:eastAsia="Arial" w:hAnsi="Arial"/>
          <w:b/>
          <w:bCs/>
          <w:sz w:val="22"/>
          <w:szCs w:val="22"/>
        </w:rPr>
        <w:t xml:space="preserve">6.6 Nachvollziehbare Begründung der Schadensbegrenzung: </w:t>
      </w:r>
      <w:r>
        <w:rPr>
          <w:rFonts w:ascii="Arial" w:cs="Arial" w:eastAsia="Arial" w:hAnsi="Arial"/>
          <w:sz w:val="22"/>
          <w:szCs w:val="22"/>
        </w:rPr>
        <w:t xml:space="preserve">Technisch nachvollziehbare Erklärung, warum 700 m³ Wasser über 12–18 Monate in einer geschlossenen Kammerkonstruktion mit 12 cm Mineralwolle, die einmal durchfeuchtet nicht mehr trocknet, auf einen Teilbereich begrenzt geblieben sein sollen – insbesondere angesichts der Tatsache, dass selbst die am schnellsten trocknende Außenschicht (Einschubplatte, Foto 16) nach zwei Monaten Trocknungszeit in 4–6 m Entfernung vom Schadenskern noch nicht vollständig getrocknet ist.</w:t>
      </w:r>
    </w:p>
    <w:p>
      <w:pPr>
        <w:pStyle w:val="Heading1"/>
        <w:spacing w:after="120" w:before="280"/>
      </w:pPr>
      <w:r>
        <w:rPr>
          <w:rFonts w:ascii="Arial" w:cs="Arial" w:eastAsia="Arial" w:hAnsi="Arial"/>
          <w:b/>
          <w:bCs/>
          <w:color w:val="1a1a1a"/>
          <w:sz w:val="26"/>
          <w:szCs w:val="26"/>
        </w:rPr>
        <w:t xml:space="preserve">7. Rechtlicher Hinweis</w:t>
      </w:r>
    </w:p>
    <w:p>
      <w:pPr>
        <w:spacing w:after="120"/>
        <w:jc w:val="both"/>
      </w:pPr>
      <w:r>
        <w:rPr>
          <w:rFonts w:ascii="Arial" w:cs="Arial" w:eastAsia="Arial" w:hAnsi="Arial"/>
          <w:sz w:val="22"/>
          <w:szCs w:val="22"/>
        </w:rPr>
        <w:t xml:space="preserve">Die Wohngebäudeversicherung BOXflex Premium mit Bestleistungs-Garantie (VGB 2014, Fassung 04.2020) schuldet die Wiederherstellung nach den a.a.R.d.T. DIN 68800-4 und der UBA-Schimmelleitfaden sind als a.a.R.d.T. anerkannt. Ein Vorgehen, das diese Normen missachtet, begründet eine Haftung des Versicherers für Folgeschäden.</w:t>
      </w:r>
    </w:p>
    <w:p>
      <w:pPr>
        <w:spacing w:after="120"/>
        <w:jc w:val="both"/>
      </w:pPr>
      <w:r>
        <w:rPr>
          <w:rFonts w:ascii="Arial" w:cs="Arial" w:eastAsia="Arial" w:hAnsi="Arial"/>
          <w:sz w:val="22"/>
          <w:szCs w:val="22"/>
        </w:rPr>
        <w:t xml:space="preserve">Ich bin weiterhin an einer zügigen und einvernehmlichen Lösung interessiert und bitte um kurzfristige Rückmeldung zu den genannten Punkten.</w:t>
      </w:r>
    </w:p>
    <w:p>
      <w:pPr>
        <w:spacing w:after="60"/>
        <w:jc w:val="both"/>
      </w:pPr>
      <w:r>
        <w:rPr>
          <w:rFonts w:ascii="Arial" w:cs="Arial" w:eastAsia="Arial" w:hAnsi="Arial"/>
          <w:sz w:val="22"/>
          <w:szCs w:val="22"/>
        </w:rPr>
        <w:t xml:space="preserve"/>
      </w:r>
    </w:p>
    <w:p>
      <w:pPr>
        <w:spacing w:after="400"/>
        <w:jc w:val="both"/>
      </w:pPr>
      <w:r>
        <w:rPr>
          <w:rFonts w:ascii="Arial" w:cs="Arial" w:eastAsia="Arial" w:hAnsi="Arial"/>
          <w:sz w:val="22"/>
          <w:szCs w:val="22"/>
        </w:rPr>
        <w:t xml:space="preserve">Mit freundlichen Grüßen</w:t>
      </w:r>
    </w:p>
    <w:p>
      <w:pPr>
        <w:spacing w:after="120"/>
        <w:jc w:val="left"/>
      </w:pPr>
      <w:r>
        <w:rPr>
          <w:rFonts w:ascii="Arial" w:cs="Arial" w:eastAsia="Arial" w:hAnsi="Arial"/>
          <w:sz w:val="22"/>
          <w:szCs w:val="22"/>
        </w:rPr>
        <w:t xml:space="preserve">Robert Frobeen</w:t>
      </w:r>
    </w:p>
    <w:p>
      <w:r>
        <w:br w:type="page"/>
      </w:r>
    </w:p>
    <w:p>
      <w:pPr>
        <w:pStyle w:val="Heading1"/>
        <w:spacing w:after="120" w:before="280"/>
      </w:pPr>
      <w:r>
        <w:rPr>
          <w:rFonts w:ascii="Arial" w:cs="Arial" w:eastAsia="Arial" w:hAnsi="Arial"/>
          <w:b/>
          <w:bCs/>
          <w:color w:val="1a1a1a"/>
          <w:sz w:val="26"/>
          <w:szCs w:val="26"/>
        </w:rPr>
        <w:t xml:space="preserve">Anlagen</w:t>
      </w:r>
    </w:p>
    <w:p>
      <w:pPr>
        <w:spacing w:after="120"/>
        <w:jc w:val="both"/>
      </w:pPr>
      <w:r>
        <w:rPr>
          <w:rFonts w:ascii="Arial" w:cs="Arial" w:eastAsia="Arial" w:hAnsi="Arial"/>
          <w:sz w:val="22"/>
          <w:szCs w:val="22"/>
        </w:rPr>
        <w:t xml:space="preserve">1. Baubeschreibung Typ 105 (Västkust-Stugan, Bauherr Jörn Frobeen)</w:t>
      </w:r>
    </w:p>
    <w:p>
      <w:pPr>
        <w:spacing w:after="120"/>
        <w:jc w:val="both"/>
      </w:pPr>
      <w:r>
        <w:rPr>
          <w:rFonts w:ascii="Arial" w:cs="Arial" w:eastAsia="Arial" w:hAnsi="Arial"/>
          <w:sz w:val="22"/>
          <w:szCs w:val="22"/>
        </w:rPr>
        <w:t xml:space="preserve">2. Positionsplan Fussboden Typ 105 (Prüfnummer 35-45-0, 28.11.1975)</w:t>
      </w:r>
    </w:p>
    <w:p>
      <w:pPr>
        <w:spacing w:after="120"/>
        <w:jc w:val="both"/>
      </w:pPr>
      <w:r>
        <w:rPr>
          <w:rFonts w:ascii="Arial" w:cs="Arial" w:eastAsia="Arial" w:hAnsi="Arial"/>
          <w:sz w:val="22"/>
          <w:szCs w:val="22"/>
        </w:rPr>
        <w:t xml:space="preserve">3. Schadensübersicht Frobeen vom 19.04.2026</w:t>
      </w:r>
    </w:p>
    <w:p>
      <w:pPr>
        <w:spacing w:after="120"/>
        <w:jc w:val="both"/>
      </w:pPr>
      <w:r>
        <w:rPr>
          <w:rFonts w:ascii="Arial" w:cs="Arial" w:eastAsia="Arial" w:hAnsi="Arial"/>
          <w:sz w:val="22"/>
          <w:szCs w:val="22"/>
        </w:rPr>
        <w:t xml:space="preserve">4. Schadensübersicht Frobeen vom 26.04.2026 (aktualisiert)</w:t>
      </w:r>
    </w:p>
    <w:p>
      <w:pPr>
        <w:spacing w:after="120"/>
        <w:jc w:val="both"/>
      </w:pPr>
      <w:r>
        <w:rPr>
          <w:rFonts w:ascii="Arial" w:cs="Arial" w:eastAsia="Arial" w:hAnsi="Arial"/>
          <w:sz w:val="22"/>
          <w:szCs w:val="22"/>
        </w:rPr>
        <w:t xml:space="preserve">5. Schadensübersicht Frobeen vom 28.04.2026 (aktualisiert)</w:t>
      </w:r>
    </w:p>
    <w:p>
      <w:pPr>
        <w:spacing w:after="120"/>
        <w:jc w:val="both"/>
      </w:pPr>
      <w:r>
        <w:rPr>
          <w:rFonts w:ascii="Arial" w:cs="Arial" w:eastAsia="Arial" w:hAnsi="Arial"/>
          <w:sz w:val="22"/>
          <w:szCs w:val="22"/>
        </w:rPr>
        <w:t xml:space="preserve">6. Gutachten Dr. Steinröx vom 08.04.2026</w:t>
      </w:r>
    </w:p>
    <w:p>
      <w:pPr>
        <w:spacing w:after="120"/>
        <w:jc w:val="both"/>
      </w:pPr>
      <w:r>
        <w:rPr>
          <w:rFonts w:ascii="Arial" w:cs="Arial" w:eastAsia="Arial" w:hAnsi="Arial"/>
          <w:sz w:val="22"/>
          <w:szCs w:val="22"/>
        </w:rPr>
        <w:t xml:space="preserve">7. Fotodokumentation Balkenbefall Heizungsraum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Arial" w:cs="Arial" w:eastAsia="Arial" w:hAnsi="Arial"/>
      <w:b/>
      <w:bCs/>
      <w:sz w:val="26"/>
      <w:szCs w:val="26"/>
    </w:rPr>
  </w:style>
  <w:style w:type="paragraph" w:styleId="Heading2">
    <w:name w:val="Heading 2"/>
    <w:basedOn w:val="Normal"/>
    <w:next w:val="Normal"/>
    <w:qFormat/>
    <w:pPr>
      <w:spacing w:after="100" w:before="200"/>
      <w:outlineLvl w:val="1"/>
    </w:pPr>
    <w:rPr>
      <w:rFonts w:ascii="Arial" w:cs="Arial" w:eastAsia="Arial" w:hAnsi="Arial"/>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2026-05-01T00:34:15.462Z</dcterms:created>
  <dcterms:modified xsi:type="dcterms:W3CDTF">2026-05-01T00:34:15.462Z</dcterms:modified>
</cp:coreProperties>
</file>

<file path=docProps/custom.xml><?xml version="1.0" encoding="utf-8"?>
<Properties xmlns="http://schemas.openxmlformats.org/officeDocument/2006/custom-properties" xmlns:vt="http://schemas.openxmlformats.org/officeDocument/2006/docPropsVTypes"/>
</file>