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r>
        <w:rPr>
          <w:sz w:val="20"/>
          <w:szCs w:val="20"/>
        </w:rPr>
        <w:t xml:space="preserve">Robert Frobeen</w:t>
      </w:r>
    </w:p>
    <w:p>
      <w:pPr>
        <w:spacing w:after="0"/>
      </w:pPr>
      <w:r>
        <w:rPr>
          <w:sz w:val="20"/>
          <w:szCs w:val="20"/>
        </w:rPr>
        <w:t xml:space="preserve">Bramfelder Chaussee 373a</w:t>
      </w:r>
    </w:p>
    <w:p>
      <w:pPr>
        <w:spacing w:after="200"/>
      </w:pPr>
      <w:r>
        <w:rPr>
          <w:sz w:val="20"/>
          <w:szCs w:val="20"/>
        </w:rPr>
        <w:t xml:space="preserve">22175 Hamburg</w:t>
      </w:r>
    </w:p>
    <w:p>
      <w:pPr>
        <w:spacing w:after="0"/>
      </w:pPr>
      <w:r>
        <w:rPr>
          <w:b/>
          <w:bCs/>
        </w:rPr>
        <w:t xml:space="preserve">DBV Deutsche Beamtenversicherung</w:t>
      </w:r>
    </w:p>
    <w:p>
      <w:pPr>
        <w:spacing w:after="0"/>
      </w:pPr>
      <w:r>
        <w:t xml:space="preserve">Zweigniederlassung der AXA Versicherung AG</w:t>
      </w:r>
    </w:p>
    <w:p>
      <w:pPr>
        <w:spacing w:after="0"/>
      </w:pPr>
      <w:r>
        <w:t xml:space="preserve">Abraham-Lincoln-Park 5</w:t>
      </w:r>
    </w:p>
    <w:p>
      <w:pPr>
        <w:spacing w:after="400"/>
      </w:pPr>
      <w:r>
        <w:t xml:space="preserve">65189 Wiesbaden</w:t>
      </w:r>
    </w:p>
    <w:p>
      <w:pPr>
        <w:spacing w:after="400"/>
        <w:jc w:val="right"/>
      </w:pPr>
      <w:r>
        <w:t xml:space="preserve">Hamburg, den 26. April 2026</w:t>
      </w:r>
    </w:p>
    <w:p>
      <w:pPr>
        <w:spacing w:after="40"/>
      </w:pPr>
      <w:r>
        <w:rPr>
          <w:b/>
          <w:bCs/>
        </w:rPr>
        <w:t xml:space="preserve">Versicherungs-Nr.: 56003205687</w:t>
      </w:r>
    </w:p>
    <w:p>
      <w:pPr>
        <w:spacing w:after="40"/>
      </w:pPr>
      <w:r>
        <w:rPr>
          <w:b/>
          <w:bCs/>
        </w:rPr>
        <w:t xml:space="preserve">Schadenfall: Leitungswasserschaden, Holzstraße 10, 29584 Himbergen</w:t>
      </w:r>
    </w:p>
    <w:p>
      <w:pPr>
        <w:spacing w:after="200"/>
      </w:pPr>
      <w:r>
        <w:rPr>
          <w:b/>
          <w:bCs/>
        </w:rPr>
        <w:t xml:space="preserve">Betreff: Normkonforme Schadenserfassung – Notwendigkeit weiterer Sondierungsöffnungen</w:t>
      </w:r>
    </w:p>
    <w:p>
      <w:pPr>
        <w:spacing w:after="200"/>
      </w:pPr>
      <w:r>
        <w:t xml:space="preserve">Sehr geehrte Damen und Herren,</w:t>
      </w:r>
    </w:p>
    <w:p>
      <w:pPr>
        <w:spacing w:after="200"/>
      </w:pPr>
      <w:r>
        <w:t xml:space="preserve">zunächst möchten wir uns herzlich für die bisherige zügige Bearbeitung unseres Schadensfalls bedanken. Die schnelle Beauftragung der Fa. Belfor zur ersten Schadensaufnahme am 9.3.2026 sowie die Freigabe der bisherigen Maßnahmen haben dazu beigetragen, dass eine erste Sicherung des Schadensbereichs erfolgen konnte. Diese konstruktive und zeitnahe Zusammenarbeit wissen wir sehr zu schätzen.</w:t>
      </w:r>
    </w:p>
    <w:p>
      <w:pPr>
        <w:spacing w:after="200"/>
      </w:pPr>
      <w:r>
        <w:t xml:space="preserve">Im Zuge der weiteren Schadenserfassung möchten wir jedoch auf einen Aspekt hinweisen, der aus unserer Sicht für die vollständige und normkonforme Regulierung des Schadens von erheblicher Bedeutung ist.</w:t>
      </w:r>
    </w:p>
    <w:p>
      <w:pPr>
        <w:spacing w:after="200"/>
      </w:pPr>
      <w:r>
        <w:rPr>
          <w:b/>
          <w:bCs/>
        </w:rPr>
        <w:t xml:space="preserve">Zum Sachverhalt</w:t>
      </w:r>
    </w:p>
    <w:p>
      <w:pPr>
        <w:spacing w:after="200"/>
      </w:pPr>
      <w:r>
        <w:t xml:space="preserve">Das Gutachten von Dr. Steinröx vom 8.4.2026 sowie unsere eigene Schadensanalyse vom 19.4.2026 dokumentieren übereinstimmend, dass durch den Lochfraß an der Wasserleitung im Badezimmer über einen Zeitraum von mehreren Monaten ca. 700 m³ Wasser in die Bodenkonstruktion eingetreten sind. Die gemessene Holzfeuchte an zugänglichen Balken und Schwellen liegt bei 26–35 % – bei einem Grenzwert von 20 %, ab dem irreversible Holzschäden einsetzen. Auf dem Holz wurden weiße Beläge festgestellt, bei denen es sich nach Einschätzung des Gutachters um einen Holzschwamm handeln kann.</w:t>
      </w:r>
    </w:p>
    <w:p>
      <w:pPr>
        <w:spacing w:after="200"/>
      </w:pPr>
      <w:r>
        <w:t xml:space="preserve">Das Wasser hat sich innerhalb des ca. 80–100 cm tiefen Streifenfundaments über eine eingeschlossene Fläche von rund 31 m² ausgebreitet. Der Sandboden innerhalb dieses Fundamentrahmens war über längere Zeit bis zur Sättigung durchfeuchtet. Die Fundamentkörper selbst standen somit beidseitig in extrem feuchtem bis nassen Boden und haben über kapillare Feuchtigkeitswanderung Feuchtigkeit an die aufliegenden Holzbalken weitergeleitet.</w:t>
      </w:r>
    </w:p>
    <w:p>
      <w:pPr>
        <w:spacing w:after="200"/>
      </w:pPr>
      <w:r>
        <w:rPr>
          <w:b/>
          <w:bCs/>
        </w:rPr>
        <w:t xml:space="preserve">Geltende Normen und Richtlinien</w:t>
      </w:r>
    </w:p>
    <w:p>
      <w:pPr>
        <w:spacing w:after="200"/>
      </w:pPr>
      <w:r>
        <w:t xml:space="preserve">Für die fachgerechte Sanierung eines solchen Schadens sind insbesondere zwei Regelwerke maßgeblich, deren Einhaltung nach den allgemein anerkannten Regeln der Technik (a.a.R.d.T.) zwingend geboten ist:</w:t>
      </w:r>
    </w:p>
    <w:p>
      <w:pPr>
        <w:spacing w:after="120"/>
        <w:ind w:left="360"/>
      </w:pPr>
      <w:r>
        <w:rPr>
          <w:b/>
          <w:bCs/>
        </w:rPr>
        <w:t xml:space="preserve">1. DIN 68800-4:2020-12 </w:t>
      </w:r>
      <w:r>
        <w:t xml:space="preserve">(„Holzschutz – Teil 4: Bekämpfungs- und Sanierungsmaßnahmen gegen Holz zerstörende Pilze und Insekten“): Diese Norm schreibt bei Verdacht auf holzzerstörende Pilze eine vollständige Freilegung der betroffenen Bereiche, eine Laborbestimmung der Pilzart (insbesondere zum Ausschluss von Echtem Hausschwamm) sowie die Entfernung befallenen Holzes mit definiertem Sicherheitsabstand vor. Die Arbeiten dürfen ausschließlich von Fachbetrieben mit Sachkundenachweis durchgeführt werden. Diese Anforderungen gelten unabhängig vom Umfang des Befalls.</w:t>
      </w:r>
    </w:p>
    <w:p>
      <w:pPr>
        <w:spacing w:after="200"/>
        <w:ind w:left="360"/>
      </w:pPr>
      <w:r>
        <w:rPr>
          <w:b/>
          <w:bCs/>
        </w:rPr>
        <w:t xml:space="preserve">2. UBA-Schimmelleitfaden </w:t>
      </w:r>
      <w:r>
        <w:t xml:space="preserve">(„Leitfaden zur Vorbeugung, Erfassung und Sanierung von Schimmelbefall in Gebäuden“, Umweltbundesamt, 2017/2024): Der Leitfaden definiert Bewertungskategorien und Sanierungsanforderungen für Schimmelbefall. Bereits ab Kategorie 1 ist eine fachgerechte Ursachenbeseitigung und Sanierung gefordert. Die Kategorisierung bestimmt den Umfang der Schutzmaßnahmen (Abschottung, Luftfilterung, Arbeitsschutz), nicht jedoch, ob überhaupt normkonform saniert werden muss – das ist in jedem Fall geboten.</w:t>
      </w:r>
    </w:p>
    <w:p>
      <w:pPr>
        <w:spacing w:after="200"/>
      </w:pPr>
      <w:r>
        <w:t xml:space="preserve">Beide Regelwerke werden von der Rechtsprechung als Maßstab für eine fachgerechte Wiederherstellung herangezogen. Der Versicherer schuldet nach den VGB 2014 die Wiederherstellung des Gebäudes in einen mangelfreien Zustand. Ein mangelfreier Zustand liegt nur vor, wenn die Sanierung den a.a.R.d.T. entspricht.</w:t>
      </w:r>
    </w:p>
    <w:p>
      <w:pPr>
        <w:spacing w:after="200"/>
      </w:pPr>
      <w:r>
        <w:rPr>
          <w:b/>
          <w:bCs/>
        </w:rPr>
        <w:t xml:space="preserve">Notwendigkeit der Sondierungsöffnung südlich des Fundaments</w:t>
      </w:r>
    </w:p>
    <w:p>
      <w:pPr>
        <w:spacing w:after="200"/>
      </w:pPr>
      <w:r>
        <w:t xml:space="preserve">Die bisherigen Untersuchungen beschränken sich auf Bereiche, die von oben oder durch bereits geöffnete Stellen zugänglich sind. Die südlich des Streifenfundaments liegenden Balkenauflagen und Holzkonstruktionen konnten bisher nicht untersucht werden. Gerade dieser Bereich war jedoch über Monate hinweg extremer Feuchtigkeitsbelastung ausgesetzt: Das Fundament stand beidseitig in durchnässtem Boden und hat als kapillare Brücke Feuchtigkeit direkt in die aufliegenden Holzbauteile transportiert.</w:t>
      </w:r>
    </w:p>
    <w:p>
      <w:pPr>
        <w:spacing w:after="200"/>
      </w:pPr>
      <w:r>
        <w:t xml:space="preserve">Die DIN 68800-4 verlangt eine vollständige Freilegung zur Ermittlung des Schadensausmaßes. Ein Befund „nicht zugänglich“ ist kein normkonformer Abschluss der Schadenserfassung, sondern bedeutet, dass die Untersuchung noch nicht abgeschlossen ist. Hinzu kommt, dass das Sanierungsziel die nachgewiesene Wiederherstellung des trockenen und schadensfreien Zustands ist – nicht lediglich die Feststellung, dass an zugänglichen Stellen keine Feuchtigkeit mehr gemessen wird.</w:t>
      </w:r>
    </w:p>
    <w:p>
      <w:pPr>
        <w:spacing w:after="200"/>
      </w:pPr>
      <w:r>
        <w:t xml:space="preserve">Wir bitten Sie daher, die </w:t>
      </w:r>
      <w:r>
        <w:rPr>
          <w:b/>
          <w:bCs/>
        </w:rPr>
        <w:t xml:space="preserve">Freigabe für eine Sondierungsöffnung des Bodens südlich des Streifenfundaments</w:t>
      </w:r>
      <w:r>
        <w:t xml:space="preserve"> zu erteilen, um den Zustand der dort liegenden tragenden Holzkonstruktion fachgerecht prüfen zu können. Gleichzeitig regen wir an, die noch ausstehende Laboruntersuchung der auf den Balken festgestellten weißen Beläge zeitnah zu beauftragen, da die Pilzbestimmung nach DIN 68800-4 Voraussetzung für die Festlegung des Sanierungsumfangs ist.</w:t>
      </w:r>
    </w:p>
    <w:p>
      <w:pPr>
        <w:spacing w:after="200"/>
      </w:pPr>
      <w:r>
        <w:t xml:space="preserve">Wir möchten darauf hinweisen, dass mit steigenden Außentemperaturen die Bedingungen für Pilzwachstum und Fäulnisbildung an den durchfeuchteten Holzbauteilen sich zunehmend verschlechtern. Sowohl das Gutachten Dr. Steinröx als auch unsere eigene Analyse kommen zu dem Schluss, dass jede weitere Verzögerung den Schaden vergrößert. Eine zügige Freigabe liegt daher auch im Interesse einer möglichst wirtschaftlichen Schadensregulierung.</w:t>
      </w:r>
    </w:p>
    <w:p>
      <w:pPr>
        <w:spacing w:after="200"/>
      </w:pPr>
      <w:r>
        <w:t xml:space="preserve">Wir sind zuversichtlich, dass wir gemeinsam zu einer sachgerechten und vollständigen Lösung kommen werden, und danken Ihnen für Ihre fortgesetzte Unterstützung.</w:t>
      </w:r>
    </w:p>
    <w:p>
      <w:pPr>
        <w:spacing w:after="400"/>
      </w:pPr>
      <w:r>
        <w:t xml:space="preserve">Mit freundlichen Grüßen</w:t>
      </w:r>
    </w:p>
    <w:p>
      <w:pPr>
        <w:spacing w:after="0"/>
      </w:pPr>
      <w:r>
        <w:t xml:space="preserve">Robert Frobeen</w:t>
      </w:r>
    </w:p>
    <w:p>
      <w:pPr>
        <w:spacing w:after="400"/>
      </w:pPr>
      <w:r>
        <w:t xml:space="preserve">Margit Frobeen</w:t>
      </w:r>
    </w:p>
    <w:p>
      <w:pPr>
        <w:spacing w:after="40"/>
      </w:pPr>
      <w:r>
        <w:rPr>
          <w:i/>
          <w:iCs/>
          <w:sz w:val="20"/>
          <w:szCs w:val="20"/>
        </w:rPr>
        <w:t xml:space="preserve">Anlagen:</w:t>
      </w:r>
    </w:p>
    <w:p>
      <w:pPr>
        <w:spacing w:after="0"/>
        <w:ind w:left="360"/>
      </w:pPr>
      <w:r>
        <w:rPr>
          <w:sz w:val="20"/>
          <w:szCs w:val="20"/>
        </w:rPr>
        <w:t xml:space="preserve">– Gutachten Dr. Steinröx vom 8.4.2026</w:t>
      </w:r>
    </w:p>
    <w:p>
      <w:pPr>
        <w:spacing w:after="0"/>
        <w:ind w:left="360"/>
      </w:pPr>
      <w:r>
        <w:rPr>
          <w:sz w:val="20"/>
          <w:szCs w:val="20"/>
        </w:rPr>
        <w:t xml:space="preserve">– Schadensübersicht Frobeen vom 19.4.2026</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2026-04-26T07:42:02.129Z</dcterms:created>
  <dcterms:modified xsi:type="dcterms:W3CDTF">2026-04-26T07:42:02.129Z</dcterms:modified>
</cp:coreProperties>
</file>

<file path=docProps/custom.xml><?xml version="1.0" encoding="utf-8"?>
<Properties xmlns="http://schemas.openxmlformats.org/officeDocument/2006/custom-properties" xmlns:vt="http://schemas.openxmlformats.org/officeDocument/2006/docPropsVTypes"/>
</file>